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0A" w:rsidRDefault="00FA1D0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0;margin-top:0;width:335.85pt;height:538.45pt;z-index:251677696;mso-wrap-style:tight" stroked="f">
            <v:textbox>
              <w:txbxContent/>
            </v:textbox>
          </v:shape>
        </w:pict>
      </w:r>
      <w:r>
        <w:rPr>
          <w:noProof/>
        </w:rPr>
        <w:pict>
          <v:shape id="_x0000_s1026" type="#_x0000_t202" style="position:absolute;margin-left:420.85pt;margin-top:0;width:335.85pt;height:538.45pt;z-index:251658240;mso-wrap-style:tight" stroked="f">
            <v:textbox style="mso-next-textbox:#_x0000_s1027">
              <w:txbxContent>
                <w:p w:rsidR="00FA1D0A" w:rsidRPr="00380020" w:rsidRDefault="00FA1D0A" w:rsidP="00FA1D0A">
                  <w:pPr>
                    <w:ind w:firstLine="709"/>
                    <w:jc w:val="center"/>
                    <w:rPr>
                      <w:rFonts w:eastAsia="Calibri"/>
                      <w:b/>
                      <w:color w:val="FF0000"/>
                      <w:sz w:val="20"/>
                      <w:szCs w:val="20"/>
                    </w:rPr>
                  </w:pPr>
                  <w:r w:rsidRPr="00380020">
                    <w:rPr>
                      <w:rFonts w:eastAsia="Calibri"/>
                      <w:b/>
                      <w:color w:val="FF0000"/>
                      <w:sz w:val="20"/>
                      <w:szCs w:val="20"/>
                    </w:rPr>
                    <w:t>АДМИНИСТРАЦИЯ ЛЕНИНСКОГО РАЙОНА Г.ГРОДНО</w:t>
                  </w:r>
                </w:p>
                <w:p w:rsidR="00FA1D0A" w:rsidRPr="00380020" w:rsidRDefault="00FA1D0A" w:rsidP="00FA1D0A">
                  <w:pPr>
                    <w:ind w:firstLine="709"/>
                    <w:jc w:val="center"/>
                    <w:rPr>
                      <w:rFonts w:eastAsia="Calibri"/>
                      <w:b/>
                      <w:color w:val="FF0000"/>
                      <w:sz w:val="20"/>
                      <w:szCs w:val="20"/>
                    </w:rPr>
                  </w:pPr>
                  <w:r w:rsidRPr="00380020">
                    <w:rPr>
                      <w:rFonts w:eastAsia="Calibri"/>
                      <w:b/>
                      <w:color w:val="FF0000"/>
                      <w:sz w:val="20"/>
                      <w:szCs w:val="20"/>
                    </w:rPr>
                    <w:t>ОТДЕЛ ИДЕОЛОГИЧЕСКОЙ РАБОТЫ</w:t>
                  </w:r>
                  <w:r>
                    <w:rPr>
                      <w:rFonts w:eastAsia="Calibri"/>
                      <w:b/>
                      <w:color w:val="FF0000"/>
                      <w:sz w:val="20"/>
                      <w:szCs w:val="20"/>
                    </w:rPr>
                    <w:t>, КУЛЬТУРЫ И ПО ДЕЛАМ МОЛОДЁЖИ</w:t>
                  </w:r>
                </w:p>
                <w:p w:rsidR="00FA1D0A" w:rsidRPr="00380020" w:rsidRDefault="00FA1D0A" w:rsidP="00FA1D0A">
                  <w:pPr>
                    <w:ind w:firstLine="709"/>
                    <w:jc w:val="center"/>
                    <w:rPr>
                      <w:rFonts w:eastAsia="Calibri"/>
                      <w:b/>
                      <w:color w:val="FF0000"/>
                      <w:sz w:val="20"/>
                      <w:szCs w:val="20"/>
                    </w:rPr>
                  </w:pPr>
                </w:p>
                <w:p w:rsidR="00FA1D0A" w:rsidRPr="000E7AC5" w:rsidRDefault="00FA1D0A" w:rsidP="00FA1D0A">
                  <w:pPr>
                    <w:ind w:firstLine="709"/>
                    <w:jc w:val="center"/>
                    <w:rPr>
                      <w:rFonts w:eastAsia="Calibri"/>
                      <w:b/>
                      <w:color w:val="003399"/>
                      <w:sz w:val="20"/>
                      <w:szCs w:val="20"/>
                    </w:rPr>
                  </w:pPr>
                </w:p>
                <w:p w:rsidR="00FA1D0A" w:rsidRPr="00D60AE3" w:rsidRDefault="00FA1D0A" w:rsidP="00FA1D0A">
                  <w:pPr>
                    <w:ind w:firstLine="709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A1D0A" w:rsidRPr="00380020" w:rsidRDefault="00FA1D0A" w:rsidP="00FA1D0A">
                  <w:pPr>
                    <w:ind w:firstLine="709"/>
                    <w:jc w:val="center"/>
                    <w:rPr>
                      <w:rFonts w:eastAsia="Calibri"/>
                      <w:b/>
                      <w:bCs/>
                      <w:color w:val="339933"/>
                    </w:rPr>
                  </w:pPr>
                  <w:r w:rsidRPr="00380020">
                    <w:rPr>
                      <w:rFonts w:eastAsia="Calibri"/>
                      <w:b/>
                      <w:color w:val="339933"/>
                    </w:rPr>
                    <w:t>ИНФОРМАЦИОННЫЙ ВЕСТНИК</w:t>
                  </w:r>
                  <w:r w:rsidRPr="00380020">
                    <w:rPr>
                      <w:rFonts w:eastAsia="Calibri"/>
                      <w:b/>
                      <w:i/>
                      <w:color w:val="339933"/>
                    </w:rPr>
                    <w:t xml:space="preserve">  </w:t>
                  </w:r>
                  <w:r w:rsidRPr="00380020">
                    <w:rPr>
                      <w:rFonts w:eastAsia="Calibri"/>
                      <w:b/>
                      <w:color w:val="339933"/>
                    </w:rPr>
                    <w:t xml:space="preserve">№ </w:t>
                  </w:r>
                  <w:r>
                    <w:rPr>
                      <w:rFonts w:eastAsia="Calibri"/>
                      <w:b/>
                      <w:color w:val="339933"/>
                    </w:rPr>
                    <w:t>7</w:t>
                  </w:r>
                </w:p>
                <w:p w:rsidR="00FA1D0A" w:rsidRDefault="00FA1D0A" w:rsidP="00FA1D0A">
                  <w:pPr>
                    <w:pStyle w:val="a9"/>
                    <w:widowControl w:val="0"/>
                    <w:ind w:firstLine="709"/>
                    <w:rPr>
                      <w:b/>
                      <w:bCs/>
                      <w:color w:val="339933"/>
                      <w:sz w:val="20"/>
                    </w:rPr>
                  </w:pPr>
                  <w:r w:rsidRPr="00EA088E">
                    <w:rPr>
                      <w:b/>
                      <w:bCs/>
                      <w:color w:val="339933"/>
                      <w:sz w:val="20"/>
                    </w:rPr>
                    <w:t>(в помощь заместителю руководителя по идеологической работе)</w:t>
                  </w:r>
                </w:p>
                <w:p w:rsidR="00FA1D0A" w:rsidRDefault="00FA1D0A" w:rsidP="00FA1D0A">
                  <w:pPr>
                    <w:pStyle w:val="a9"/>
                    <w:widowControl w:val="0"/>
                    <w:ind w:firstLine="709"/>
                    <w:rPr>
                      <w:b/>
                      <w:bCs/>
                      <w:color w:val="339933"/>
                      <w:sz w:val="20"/>
                    </w:rPr>
                  </w:pPr>
                </w:p>
                <w:p w:rsidR="00FA1D0A" w:rsidRDefault="00FA1D0A" w:rsidP="00FA1D0A">
                  <w:pPr>
                    <w:pStyle w:val="a9"/>
                    <w:widowControl w:val="0"/>
                    <w:ind w:firstLine="709"/>
                    <w:rPr>
                      <w:b/>
                      <w:bCs/>
                      <w:color w:val="339933"/>
                      <w:sz w:val="20"/>
                    </w:rPr>
                  </w:pPr>
                </w:p>
                <w:p w:rsidR="00FA1D0A" w:rsidRPr="00EA088E" w:rsidRDefault="00FA1D0A" w:rsidP="00FA1D0A">
                  <w:pPr>
                    <w:pStyle w:val="a9"/>
                    <w:widowControl w:val="0"/>
                    <w:ind w:firstLine="709"/>
                    <w:rPr>
                      <w:b/>
                      <w:bCs/>
                      <w:color w:val="339933"/>
                      <w:sz w:val="20"/>
                    </w:rPr>
                  </w:pPr>
                </w:p>
                <w:p w:rsidR="00FA1D0A" w:rsidRPr="00EA088E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360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33360" cy="1380209"/>
                        <wp:effectExtent l="19050" t="0" r="0" b="0"/>
                        <wp:docPr id="1" name="Рисунок 2" descr="C:\Documents and Settings\Admin\Local Settings\Temporary Internet Files\Content.Word\613952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Admin\Local Settings\Temporary Internet Files\Content.Word\613952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3724" cy="13804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jc w:val="right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color w:val="000000"/>
                      <w:sz w:val="22"/>
                      <w:szCs w:val="22"/>
                    </w:rPr>
                    <w:drawing>
                      <wp:inline distT="0" distB="0" distL="0" distR="0">
                        <wp:extent cx="1746558" cy="1310640"/>
                        <wp:effectExtent l="19050" t="0" r="6042" b="0"/>
                        <wp:docPr id="4" name="Рисунок 1" descr="\\192.168.90.10\storage\Информация для отделов\Администрация Ленинского района\Отдел идеологической работы\Ольга\5QBoJJT9RNye3Q0PmCb8lQ0QGg384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192.168.90.10\storage\Информация для отделов\Администрация Ленинского района\Отдел идеологической работы\Ольга\5QBoJJT9RNye3Q0PmCb8lQ0QGg384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8698" cy="1312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Pr="00692D32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92D32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ПОВЫШЕНИЕ ЭКОЛОГИЧЕСКОЙ КУЛЬТУРЫ </w:t>
                  </w:r>
                </w:p>
                <w:p w:rsidR="00FA1D0A" w:rsidRPr="00692D32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  <w:r w:rsidRPr="00692D32">
                    <w:rPr>
                      <w:b/>
                      <w:i/>
                      <w:color w:val="FF0000"/>
                      <w:sz w:val="22"/>
                      <w:szCs w:val="22"/>
                    </w:rPr>
                    <w:t>В БЕЛОРУССКОМ ОБЩЕСТВЕ</w:t>
                  </w: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Pr="00692D32" w:rsidRDefault="00FA1D0A" w:rsidP="00FA1D0A">
                  <w:pPr>
                    <w:pStyle w:val="a5"/>
                    <w:ind w:left="709"/>
                    <w:rPr>
                      <w:rFonts w:ascii="Times New Roman" w:hAnsi="Times New Roman"/>
                      <w:i/>
                      <w:color w:val="FF0000"/>
                    </w:rPr>
                  </w:pPr>
                  <w:r w:rsidRPr="00692D32">
                    <w:rPr>
                      <w:rFonts w:ascii="Times New Roman" w:hAnsi="Times New Roman"/>
                      <w:b/>
                      <w:i/>
                      <w:color w:val="FF0000"/>
                      <w:lang w:val="be-BY"/>
                    </w:rPr>
                    <w:t>ВЫБОРЫ ПРЕЗИДЕНТА РЕСПУБЛИКИ БЕЛАРУСЬ: ВОПРОСЫ ИЗБИРАТЕЛЬНОГО ЗАКОНОДАТЕЛЬСТВА</w:t>
                  </w:r>
                </w:p>
                <w:p w:rsidR="00FA1D0A" w:rsidRPr="00692D32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i/>
                      <w:color w:val="FF0000"/>
                      <w:sz w:val="22"/>
                      <w:szCs w:val="22"/>
                    </w:rPr>
                  </w:pP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Pr="00692D32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709"/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692D32">
                    <w:rPr>
                      <w:b/>
                      <w:color w:val="00B050"/>
                      <w:sz w:val="28"/>
                      <w:szCs w:val="28"/>
                    </w:rPr>
                    <w:t>июль 2015 года</w:t>
                  </w:r>
                </w:p>
                <w:p w:rsidR="00FA1D0A" w:rsidRDefault="00FA1D0A" w:rsidP="00FA1D0A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Pr="00FA1D0A" w:rsidRDefault="00FA1D0A" w:rsidP="00FA1D0A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spacing w:before="0" w:beforeAutospacing="0" w:after="0" w:afterAutospacing="0"/>
                    <w:ind w:left="0" w:firstLine="709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FA1D0A">
                    <w:rPr>
                      <w:b/>
                      <w:color w:val="000000"/>
                      <w:sz w:val="22"/>
                      <w:szCs w:val="22"/>
                    </w:rPr>
                    <w:t>ПОВЫШЕНИЕ ЭКОЛОГИЧЕСКОЙ КУЛЬТУРЫ В БЕЛОРУССКОМ ОБЩЕСТВЕ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>В условиях развития современного общества и увеличения антропогенного воздействия на окружающую среду неизбежно возникают проблемы потребительского отношения к природе и природным ресурсам. Потому что все зависит, в конечном счете, от человека, от того, как он относится к природе, от его практических действий в этой сфере.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b/>
                      <w:color w:val="000000"/>
                      <w:sz w:val="22"/>
                      <w:szCs w:val="22"/>
                    </w:rPr>
                    <w:t>Экологическое образование и просвещение.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>В Республике Беларусь уделяется большое внимание развитию непрерывного экологического образования и воспитания.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>Экологическая направленность заложена в качестве одного из основных принципов государственной политики в сфере образования. Система экологического образования, воспитания и просвещения детально определена Законом Республики Беларусь «Об охране окружающей среды».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 xml:space="preserve">Овладение минимумом экологических знаний, необходимых для формирования экологической культуры граждан обязательно для всех учащихся и осуществляется путем обязательного преподавания основ знаний в области охраны окружающей среды и природопользования. Экологическое просвещение населения осуществляют все учреждения образования, а также учреждения культуры (музеи, зоопарки, ботанические сады), библиотеки, общественные экологические организации и др. Значительную роль в этой области играют средства массовой информации. 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>Республика Беларусь ратифицировала Конвенцию «О доступе к информации, участии общественности в принятии решений и доступе к правосудию по вопросам, касающимся окружающей среды» (</w:t>
                  </w:r>
                  <w:proofErr w:type="spellStart"/>
                  <w:r w:rsidRPr="00242C45">
                    <w:rPr>
                      <w:color w:val="000000"/>
                      <w:sz w:val="22"/>
                      <w:szCs w:val="22"/>
                    </w:rPr>
                    <w:t>Орхусская</w:t>
                  </w:r>
                  <w:proofErr w:type="spellEnd"/>
                  <w:r w:rsidRPr="00242C45">
                    <w:rPr>
                      <w:color w:val="000000"/>
                      <w:sz w:val="22"/>
                      <w:szCs w:val="22"/>
                    </w:rPr>
                    <w:t xml:space="preserve"> конвенция), создала </w:t>
                  </w:r>
                  <w:proofErr w:type="gramStart"/>
                  <w:r w:rsidRPr="00242C45">
                    <w:rPr>
                      <w:color w:val="000000"/>
                      <w:sz w:val="22"/>
                      <w:szCs w:val="22"/>
                    </w:rPr>
                    <w:t>активно действующий</w:t>
                  </w:r>
                  <w:proofErr w:type="gramEnd"/>
                  <w:r w:rsidRPr="00242C4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42C45">
                    <w:rPr>
                      <w:color w:val="000000"/>
                      <w:sz w:val="22"/>
                      <w:szCs w:val="22"/>
                    </w:rPr>
                    <w:t>Орхусский</w:t>
                  </w:r>
                  <w:proofErr w:type="spellEnd"/>
                  <w:r w:rsidRPr="00242C45">
                    <w:rPr>
                      <w:color w:val="000000"/>
                      <w:sz w:val="22"/>
                      <w:szCs w:val="22"/>
                    </w:rPr>
                    <w:t xml:space="preserve"> центр. 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 xml:space="preserve">Значительным шагом явилось создание при Министерстве природных ресурсов и охраны окружающей среды Республики Беларусь Общественного координационного экологического совета, в который вошли многие общественные организации и объединения и в функции которого также входит обсуждение вопросов организации экологического образования. Аналогичные советы созданы при областных и Минском городском комитетах природных ресурсов и охраны окружающей среды Республики Беларусь. 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 xml:space="preserve">Традиционным стало проведение республиканского экологического форума, акций, конкурсов экологической направленности. Экологический республиканский форум - это эффективная форма ознакомления населения с политикой государства по охране и оздоровлению окружающей среды и является массовым мероприятием экологической направленности. Ежегодно Республиканский экологический форум проводится в рамках Плана мероприятий по реализации решений третьего Всебелорусского народного собрания, утвержденных Распоряжением Президента Республики Беларусь № 222-РП от 30 июня </w:t>
                  </w:r>
                  <w:smartTag w:uri="urn:schemas-microsoft-com:office:smarttags" w:element="metricconverter">
                    <w:smartTagPr>
                      <w:attr w:name="ProductID" w:val="2006 г"/>
                    </w:smartTagPr>
                    <w:r w:rsidRPr="00242C45">
                      <w:rPr>
                        <w:color w:val="000000"/>
                        <w:sz w:val="22"/>
                        <w:szCs w:val="22"/>
                      </w:rPr>
                      <w:t>2006 г</w:t>
                    </w:r>
                  </w:smartTag>
                  <w:r w:rsidRPr="00242C45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>Особое значение в целях повышения уровня экологической направленности образования, воспитания ответственного отношения подрастающего поколения к природе, формирования экологически грамотного поведения имело создание в Республике Беларусь сети «Зеленых школ». Данный факультатив был разработан в рамках проекта Европейского союза и Программы развития ООН «Содействие развитию всеобъемлющей структуры международного сотрудничества в области охраны окружающей среды в Республике Беларусь».</w:t>
                  </w:r>
                </w:p>
                <w:p w:rsidR="00FA1D0A" w:rsidRPr="00242C45" w:rsidRDefault="00FA1D0A" w:rsidP="00FA1D0A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709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42C45">
                    <w:rPr>
                      <w:color w:val="000000"/>
                      <w:sz w:val="22"/>
                      <w:szCs w:val="22"/>
                    </w:rPr>
                    <w:t>В настоящее время в Республике Беларусь дипломы «Зеленая школа» получили 44 учреждения образования и 134 подали заявки для участия в этой программе.</w:t>
                  </w:r>
                </w:p>
                <w:p w:rsidR="00FA1D0A" w:rsidRPr="00242C45" w:rsidRDefault="00FA1D0A" w:rsidP="00FA1D0A">
                  <w:pPr>
                    <w:ind w:firstLine="709"/>
                    <w:rPr>
                      <w:b/>
                      <w:color w:val="000000"/>
                    </w:rPr>
                  </w:pPr>
                  <w:r w:rsidRPr="00242C45">
                    <w:rPr>
                      <w:b/>
                      <w:color w:val="000000"/>
                    </w:rPr>
                    <w:t>Охрана и использование атмосферного воздуха.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Атмосферный воздух являет</w:t>
                  </w:r>
                  <w:bookmarkStart w:id="0" w:name="_GoBack"/>
                  <w:bookmarkEnd w:id="0"/>
                  <w:r w:rsidRPr="00242C45">
                    <w:rPr>
                      <w:color w:val="000000"/>
                    </w:rPr>
                    <w:t xml:space="preserve">ся одним из основных жизненно важных элементов окружающей среды, условием нормальной жизнедеятельности людей, качества их жизни и здоровья. В условиях стабильного экономического развития атмосфера  подвергается существенному загрязнению из-за выбросов газообразных и твердых, загрязняющих веществ от различных производств.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Для сдерживания роста выбросов от стационарных источников в выдаваемых предприятиям разрешениях на выбросы </w:t>
                  </w:r>
                  <w:proofErr w:type="gramStart"/>
                  <w:r w:rsidRPr="00242C45">
                    <w:rPr>
                      <w:color w:val="000000"/>
                    </w:rPr>
                    <w:t>устанавливаются условия</w:t>
                  </w:r>
                  <w:proofErr w:type="gramEnd"/>
                  <w:r w:rsidRPr="00242C45">
                    <w:rPr>
                      <w:color w:val="000000"/>
                    </w:rPr>
                    <w:t xml:space="preserve"> по снижению выбросов загрязняющих веществ путем проведения мероприятий по строительству, реконструкции, модернизации газоочистных установок. В Гродненской области около 60% загрязняющих веществ, отходящих от стационарных источников, улавливаются и обезвреживаются газоочистными установками. </w:t>
                  </w:r>
                </w:p>
                <w:p w:rsidR="00FA1D0A" w:rsidRPr="00C9704E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целях снижения выбросов загрязняющих веществ в атмосферный воздух от стационарных источников особое внимание уделяется эффективному использованию топливно-энергетических ресурсов и увеличению использования возобновляемых источников энергии.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Так, в Гродненской области реализованы следующие проекты с использованием возобновляемых источников энергии, в том числе с использованием энергии:</w:t>
                  </w:r>
                </w:p>
                <w:p w:rsidR="00FA1D0A" w:rsidRPr="00242C45" w:rsidRDefault="00FA1D0A" w:rsidP="00FA1D0A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воды – установки общей установленной мощностью 17,2 МВт (Гродненская ГЭС, установки в </w:t>
                  </w:r>
                  <w:proofErr w:type="spellStart"/>
                  <w:r w:rsidRPr="00242C45">
                    <w:rPr>
                      <w:color w:val="000000"/>
                    </w:rPr>
                    <w:t>Ивьевском</w:t>
                  </w:r>
                  <w:proofErr w:type="spellEnd"/>
                  <w:r w:rsidRPr="00242C45">
                    <w:rPr>
                      <w:color w:val="000000"/>
                    </w:rPr>
                    <w:t xml:space="preserve"> районе СПК «</w:t>
                  </w:r>
                  <w:proofErr w:type="spellStart"/>
                  <w:r w:rsidRPr="00242C45">
                    <w:rPr>
                      <w:color w:val="000000"/>
                    </w:rPr>
                    <w:t>Умястовский</w:t>
                  </w:r>
                  <w:proofErr w:type="spellEnd"/>
                  <w:r w:rsidRPr="00242C45">
                    <w:rPr>
                      <w:color w:val="000000"/>
                    </w:rPr>
                    <w:t xml:space="preserve">», Гродненском районе СПК имени </w:t>
                  </w:r>
                  <w:proofErr w:type="spellStart"/>
                  <w:r w:rsidRPr="00242C45">
                    <w:rPr>
                      <w:color w:val="000000"/>
                    </w:rPr>
                    <w:t>Деньщикова</w:t>
                  </w:r>
                  <w:proofErr w:type="spellEnd"/>
                  <w:r w:rsidRPr="00242C45">
                    <w:rPr>
                      <w:color w:val="000000"/>
                    </w:rPr>
                    <w:t>);</w:t>
                  </w:r>
                </w:p>
                <w:p w:rsidR="00FA1D0A" w:rsidRPr="00242C45" w:rsidRDefault="00FA1D0A" w:rsidP="00FA1D0A">
                  <w:pPr>
                    <w:numPr>
                      <w:ilvl w:val="0"/>
                      <w:numId w:val="1"/>
                    </w:numPr>
                    <w:ind w:left="0"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ветра – установка общей мощностью 1,5 МВт – </w:t>
                  </w:r>
                  <w:proofErr w:type="spellStart"/>
                  <w:r w:rsidRPr="00242C45">
                    <w:rPr>
                      <w:color w:val="000000"/>
                    </w:rPr>
                    <w:t>Новогрудский</w:t>
                  </w:r>
                  <w:proofErr w:type="spellEnd"/>
                  <w:r w:rsidRPr="00242C45">
                    <w:rPr>
                      <w:color w:val="000000"/>
                    </w:rPr>
                    <w:t xml:space="preserve"> район.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Реализуются мероприятия, направленные на снижение выбросов загрязняющих веществ в атмосферный воздух: замена красителей с высоким содержанием летучих органических соединений на окрасочные материалы с </w:t>
                  </w:r>
                  <w:proofErr w:type="spellStart"/>
                  <w:r w:rsidRPr="00242C45">
                    <w:rPr>
                      <w:color w:val="000000"/>
                    </w:rPr>
                    <w:t>вододисперсионной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основой, что позволило снизить выбросы летучих органических соединений; перевод автотранспорта на газомоторное топливо; установка современного котельного оборудования, а также газоочистного оборудования.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Доля выбросов загрязняющих веществ от мобильных источников несколько уменьшилась и составила в 2014 году </w:t>
                  </w:r>
                  <w:smartTag w:uri="urn:schemas-microsoft-com:office:smarttags" w:element="metricconverter">
                    <w:smartTagPr>
                      <w:attr w:name="ProductID" w:val="93 кг"/>
                    </w:smartTagPr>
                    <w:r w:rsidRPr="00242C45">
                      <w:rPr>
                        <w:color w:val="000000"/>
                      </w:rPr>
                      <w:t>93 кг</w:t>
                    </w:r>
                  </w:smartTag>
                  <w:r w:rsidRPr="00242C45">
                    <w:rPr>
                      <w:color w:val="000000"/>
                    </w:rPr>
                    <w:t xml:space="preserve"> в расчете на душу населения относительно 2010 года (</w:t>
                  </w:r>
                  <w:smartTag w:uri="urn:schemas-microsoft-com:office:smarttags" w:element="metricconverter">
                    <w:smartTagPr>
                      <w:attr w:name="ProductID" w:val="99 кг"/>
                    </w:smartTagPr>
                    <w:r w:rsidRPr="00242C45">
                      <w:rPr>
                        <w:color w:val="000000"/>
                      </w:rPr>
                      <w:t>99 кг</w:t>
                    </w:r>
                  </w:smartTag>
                  <w:r w:rsidRPr="00242C45">
                    <w:rPr>
                      <w:color w:val="000000"/>
                    </w:rPr>
                    <w:t xml:space="preserve">). </w:t>
                  </w:r>
                  <w:proofErr w:type="gramStart"/>
                  <w:r w:rsidRPr="00242C45">
                    <w:rPr>
                      <w:color w:val="000000"/>
                    </w:rPr>
                    <w:t>Из всех административных регионов Беларуси явная тенденция к уменьшению объема выбросов загрязняющих веществ в атмосферный воздух мобильными источниками в период 2010–2014 гг. отмечается в Гомельской и Гродненской областях.</w:t>
                  </w:r>
                  <w:proofErr w:type="gramEnd"/>
                  <w:r w:rsidRPr="00242C45">
                    <w:rPr>
                      <w:color w:val="000000"/>
                    </w:rPr>
                    <w:t xml:space="preserve"> В среднем  для Гродненской области </w:t>
                  </w:r>
                  <w:proofErr w:type="spellStart"/>
                  <w:r w:rsidRPr="00242C45">
                    <w:rPr>
                      <w:color w:val="000000"/>
                    </w:rPr>
                    <w:t>валовый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выброс загрязняющих веществ от мобильных источников в 2014 году составил порядка 100 тыс. тонн.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С целью снижения уровня загрязнения атмосферного воздуха автотранспортными средствами, эксплуатируемыми с нарушением требований нормативов выбросов загрязняющих веществ, областным комитетом и </w:t>
                  </w:r>
                  <w:proofErr w:type="spellStart"/>
                  <w:r w:rsidRPr="00242C45">
                    <w:rPr>
                      <w:color w:val="000000"/>
                    </w:rPr>
                    <w:t>горрайинспекциями</w:t>
                  </w:r>
                  <w:proofErr w:type="spellEnd"/>
                  <w:r w:rsidRPr="00242C45">
                    <w:rPr>
                      <w:color w:val="000000"/>
                    </w:rPr>
                    <w:t xml:space="preserve"> </w:t>
                  </w:r>
                  <w:proofErr w:type="gramStart"/>
                  <w:r w:rsidRPr="00242C45">
                    <w:rPr>
                      <w:color w:val="000000"/>
                    </w:rPr>
                    <w:t>ПР</w:t>
                  </w:r>
                  <w:proofErr w:type="gramEnd"/>
                  <w:r w:rsidRPr="00242C45">
                    <w:rPr>
                      <w:color w:val="000000"/>
                    </w:rPr>
                    <w:t xml:space="preserve"> и ООС во взаимодействии с ГАИ МВД ежегодно проводятся республиканская экологическая операция «Чистый воздух», республиканский конкурс на лучшую автотранспортную организацию в работе по снижению загрязнения атмосферного воздуха. </w:t>
                  </w:r>
                </w:p>
                <w:p w:rsidR="00FA1D0A" w:rsidRPr="00242C45" w:rsidRDefault="00FA1D0A" w:rsidP="00FA1D0A">
                  <w:pPr>
                    <w:ind w:firstLine="709"/>
                    <w:rPr>
                      <w:b/>
                      <w:color w:val="000000"/>
                    </w:rPr>
                  </w:pPr>
                  <w:r w:rsidRPr="00242C45">
                    <w:rPr>
                      <w:b/>
                      <w:color w:val="000000"/>
                    </w:rPr>
                    <w:t>Рациональное использование и охрана водных ресурсов.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Запасы имеющихся пресных поверхностных и подземных вод в Гродненской области достаточны для удовлетворения не только существующих, но и перспективных потребностей населения и отраслей экономики.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 рамках мониторинга поверхностных вод установлено, что 91% наблюдаемых участков рек и 98% озер характеризуются «отличным» и «хорошим» гидрохимическим статусом, остальные – «удовлетворительным».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Состояние водных объектов  в пределах бассейна р. Неман, р. </w:t>
                  </w:r>
                  <w:proofErr w:type="spellStart"/>
                  <w:r w:rsidRPr="00242C45">
                    <w:rPr>
                      <w:color w:val="000000"/>
                    </w:rPr>
                    <w:t>Вилия</w:t>
                  </w:r>
                  <w:proofErr w:type="spellEnd"/>
                  <w:r w:rsidRPr="00242C45">
                    <w:rPr>
                      <w:color w:val="000000"/>
                    </w:rPr>
                    <w:t xml:space="preserve"> характеризуется устойчивостью протекания </w:t>
                  </w:r>
                  <w:proofErr w:type="spellStart"/>
                  <w:r w:rsidRPr="00242C45">
                    <w:rPr>
                      <w:color w:val="000000"/>
                    </w:rPr>
                    <w:t>экосистемных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процессов. В структуре выявленных превышений предельно-допустимых концентраций, установленных для водных объектов </w:t>
                  </w:r>
                  <w:proofErr w:type="spellStart"/>
                  <w:r w:rsidRPr="00242C45">
                    <w:rPr>
                      <w:color w:val="000000"/>
                    </w:rPr>
                    <w:t>рыбохозяйственного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назначения, большую часть составляют элементы с высоким региональным фоном в природных водах - железо общее, соединения меди, марганца, цинка. Содержание металлов в воде  во многом зависит от особенностей формирования водного режима, от особенностей протекания гидрохимических процессов.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На сегодняшний день р. Неман и р. </w:t>
                  </w:r>
                  <w:proofErr w:type="spellStart"/>
                  <w:r w:rsidRPr="00242C45">
                    <w:rPr>
                      <w:color w:val="000000"/>
                    </w:rPr>
                    <w:t>Вилия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относятся к категории «относительно чистых» рек.</w:t>
                  </w:r>
                </w:p>
                <w:p w:rsidR="00FA1D0A" w:rsidRPr="00C9704E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Для предотвращения загрязнения поверхностных и подземных вод, улучшения качества очистки сбрасываемых сточных вод в окружающую среду осуществляется строительство новых и реконструкция действующих очистных сооружений.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Так, в 2014 году велось строительство очистных сооружений ОАО «</w:t>
                  </w:r>
                  <w:proofErr w:type="spellStart"/>
                  <w:r w:rsidRPr="00242C45">
                    <w:rPr>
                      <w:color w:val="000000"/>
                    </w:rPr>
                    <w:t>Скидельский</w:t>
                  </w:r>
                  <w:proofErr w:type="spellEnd"/>
                  <w:r w:rsidRPr="00242C45">
                    <w:rPr>
                      <w:color w:val="000000"/>
                    </w:rPr>
                    <w:t xml:space="preserve"> сахарный комбинат», реконструкция станции очистки сточных вод </w:t>
                  </w:r>
                  <w:proofErr w:type="spellStart"/>
                  <w:r w:rsidRPr="00242C45">
                    <w:rPr>
                      <w:color w:val="000000"/>
                    </w:rPr>
                    <w:t>Ошмянского</w:t>
                  </w:r>
                  <w:proofErr w:type="spellEnd"/>
                  <w:r w:rsidRPr="00242C45">
                    <w:rPr>
                      <w:color w:val="000000"/>
                    </w:rPr>
                    <w:t xml:space="preserve"> РУП ЖКХ, п. Первомайский </w:t>
                  </w:r>
                  <w:proofErr w:type="spellStart"/>
                  <w:r w:rsidRPr="00242C45">
                    <w:rPr>
                      <w:color w:val="000000"/>
                    </w:rPr>
                    <w:t>Лидского</w:t>
                  </w:r>
                  <w:proofErr w:type="spellEnd"/>
                  <w:r w:rsidRPr="00242C45">
                    <w:rPr>
                      <w:color w:val="000000"/>
                    </w:rPr>
                    <w:t xml:space="preserve"> района.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Активно проводятся работы по снижению потерь воды при ее транспортировке к потребителю. В 2014 году отмечено снижение данного показателя по сравнению с 2013 годом на 2,1%.</w:t>
                  </w:r>
                </w:p>
                <w:p w:rsidR="00FA1D0A" w:rsidRPr="00242C45" w:rsidRDefault="00FA1D0A" w:rsidP="00FA1D0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настоящее время работы по доведению приборами учета воды в сельском хозяйстве выполнены в полном объеме, оснащение приборным учетом водозаборов подземной воды в сельском хозяйстве составляет 99%.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целях улучшения экологического состояния малых рек ежегодно проводятся работы по реализации </w:t>
                  </w:r>
                  <w:proofErr w:type="spellStart"/>
                  <w:r w:rsidRPr="00242C45">
                    <w:rPr>
                      <w:color w:val="000000"/>
                    </w:rPr>
                    <w:t>водоохранных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мероприятий, предусмотренных проектами </w:t>
                  </w:r>
                  <w:proofErr w:type="spellStart"/>
                  <w:r w:rsidRPr="00242C45">
                    <w:rPr>
                      <w:color w:val="000000"/>
                    </w:rPr>
                    <w:t>водоохранных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зон и прибрежных полос, а также в рамках проведения работ по обустройству водных объектов, берегоукрепительные работы, расчистка и восстановление русел рек, очистка водных объектов от наносов донных отложений и растительности. </w:t>
                  </w:r>
                </w:p>
                <w:p w:rsidR="00FA1D0A" w:rsidRPr="00C9704E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рамках создания благоприятных условий для реализации водного туризма и рекреации ежегодно проводятся работы по подготовке к летнему сезону 45 зон массового отдыха на водных объектах, также организовано проведение республиканского конкурса на лучшее обустройство этих зон.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По результатам проведенного конкурса в 2014 году лучшими обустроенными зонами отдыха на водных объектах были признаны: место массового отдыха ОУПП «Гродненское городское жилищно-коммунальное хозяйство» (озеро «Юбилейное» урочище </w:t>
                  </w:r>
                  <w:proofErr w:type="spellStart"/>
                  <w:r w:rsidRPr="00242C45">
                    <w:rPr>
                      <w:color w:val="000000"/>
                    </w:rPr>
                    <w:t>Чеховщизна</w:t>
                  </w:r>
                  <w:proofErr w:type="spellEnd"/>
                  <w:r w:rsidRPr="00242C45">
                    <w:rPr>
                      <w:color w:val="000000"/>
                    </w:rPr>
                    <w:t xml:space="preserve">), место массового отдыха на озере в </w:t>
                  </w:r>
                  <w:proofErr w:type="gramStart"/>
                  <w:r w:rsidRPr="00242C45">
                    <w:rPr>
                      <w:color w:val="000000"/>
                    </w:rPr>
                    <w:t>г</w:t>
                  </w:r>
                  <w:proofErr w:type="gramEnd"/>
                  <w:r w:rsidRPr="00242C45">
                    <w:rPr>
                      <w:color w:val="000000"/>
                    </w:rPr>
                    <w:t xml:space="preserve">. Лида </w:t>
                  </w:r>
                  <w:proofErr w:type="spellStart"/>
                  <w:r w:rsidRPr="00242C45">
                    <w:rPr>
                      <w:color w:val="000000"/>
                    </w:rPr>
                    <w:t>Лидского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ГУП ЖКХ.</w:t>
                  </w:r>
                </w:p>
                <w:p w:rsidR="00FA1D0A" w:rsidRPr="00242C45" w:rsidRDefault="00FA1D0A" w:rsidP="00FA1D0A">
                  <w:pPr>
                    <w:tabs>
                      <w:tab w:val="left" w:pos="709"/>
                    </w:tabs>
                    <w:ind w:firstLine="709"/>
                    <w:rPr>
                      <w:b/>
                      <w:color w:val="000000"/>
                    </w:rPr>
                  </w:pPr>
                  <w:r w:rsidRPr="00242C45">
                    <w:rPr>
                      <w:b/>
                      <w:color w:val="000000"/>
                    </w:rPr>
                    <w:t>Сохранение биологического и ландшафтного разнообразия.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Сохранение естественных экосистем и ландшафтов является одним из важнейших аспектов создания благоприятной окружающей среды и биологического разнообразия.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Гродненской области эта цель достигается путем создания особо охраняемых природных территорий (далее – ООПТ) (национальных парков, заказников, памятников природы), охраной мест обитания и произрастания видов диких животных и растений, занесенных в Красную книгу Республики Беларусь, борьбой с </w:t>
                  </w:r>
                  <w:proofErr w:type="spellStart"/>
                  <w:r w:rsidRPr="00242C45">
                    <w:rPr>
                      <w:color w:val="000000"/>
                    </w:rPr>
                    <w:t>инвазивными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видами.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Ведущая роль в сохранении биологического разнообразия принадлежит особо охраняемым природным территориям.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proofErr w:type="gramStart"/>
                  <w:r w:rsidRPr="00242C45">
                    <w:rPr>
                      <w:color w:val="000000"/>
                    </w:rPr>
                    <w:t>Система особо охраняемых природных территорий нашей области включает территории частично 2-х национальных парков («Беловежская пуща», «</w:t>
                  </w:r>
                  <w:proofErr w:type="spellStart"/>
                  <w:r w:rsidRPr="00242C45">
                    <w:rPr>
                      <w:color w:val="000000"/>
                    </w:rPr>
                    <w:t>Нарочанский</w:t>
                  </w:r>
                  <w:proofErr w:type="spellEnd"/>
                  <w:r w:rsidRPr="00242C45">
                    <w:rPr>
                      <w:color w:val="000000"/>
                    </w:rPr>
                    <w:t>» и 14 заказников республиканского значения.</w:t>
                  </w:r>
                  <w:proofErr w:type="gramEnd"/>
                  <w:r w:rsidRPr="00242C45">
                    <w:rPr>
                      <w:color w:val="000000"/>
                    </w:rPr>
                    <w:t xml:space="preserve"> Кроме этих природоохранных объектов биологическое и ландшафтное разнообразие сохраняется в 27 заказниках местного значения и 212 памятников природы, из них 87 республиканского значения и 125 местного. Среди них отдельные вековые и редкие деревья, старинные парки, уникальные геологические обнажения древних пластов земли и другие объекты, имеющие научное, познавательное, историческое, эстетическое значение. Всего территории Гродненской области создано 255 особо охраняемых природных территорий на площади 246,5 тыс. га, 9,9 % от территории области. 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На территории области функционируют 5 государственных природоохранных учреждений, органов управления заказниками: «</w:t>
                  </w:r>
                  <w:proofErr w:type="spellStart"/>
                  <w:r w:rsidRPr="00242C45">
                    <w:rPr>
                      <w:color w:val="000000"/>
                    </w:rPr>
                    <w:t>Липичанская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пуща», «</w:t>
                  </w:r>
                  <w:proofErr w:type="spellStart"/>
                  <w:r w:rsidRPr="00242C45">
                    <w:rPr>
                      <w:color w:val="000000"/>
                    </w:rPr>
                    <w:t>Котра</w:t>
                  </w:r>
                  <w:proofErr w:type="spellEnd"/>
                  <w:r w:rsidRPr="00242C45">
                    <w:rPr>
                      <w:color w:val="000000"/>
                    </w:rPr>
                    <w:t>», «</w:t>
                  </w:r>
                  <w:proofErr w:type="spellStart"/>
                  <w:r w:rsidRPr="00242C45">
                    <w:rPr>
                      <w:color w:val="000000"/>
                    </w:rPr>
                    <w:t>Сарочанские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озера», «Озеры», «</w:t>
                  </w:r>
                  <w:proofErr w:type="spellStart"/>
                  <w:r w:rsidRPr="00242C45">
                    <w:rPr>
                      <w:color w:val="000000"/>
                    </w:rPr>
                    <w:t>Свитизянский</w:t>
                  </w:r>
                  <w:proofErr w:type="spellEnd"/>
                  <w:r w:rsidRPr="00242C45">
                    <w:rPr>
                      <w:color w:val="000000"/>
                    </w:rPr>
                    <w:t xml:space="preserve">». 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Для увеличения биологического разнообразия проводится работа по выявлению, обследованию и передачи под охрану мест произрастания и обитания диких растений и </w:t>
                  </w:r>
                  <w:proofErr w:type="gramStart"/>
                  <w:r w:rsidRPr="00242C45">
                    <w:rPr>
                      <w:color w:val="000000"/>
                    </w:rPr>
                    <w:t>животных</w:t>
                  </w:r>
                  <w:proofErr w:type="gramEnd"/>
                  <w:r w:rsidRPr="00242C45">
                    <w:rPr>
                      <w:color w:val="000000"/>
                    </w:rPr>
                    <w:t xml:space="preserve"> относящихся к видам, включенным в Красную книгу Республики Беларусь.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 области передано под охрану пользователям земельных участков 160 мест обитания 24 видов диких животных, 224 мест произрастания 45 видов дикорастущих растений, включенных в Красную книгу Республики Беларусь.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  <w:spacing w:val="-4"/>
                    </w:rPr>
                  </w:pPr>
                  <w:r w:rsidRPr="00242C45">
                    <w:rPr>
                      <w:color w:val="000000"/>
                    </w:rPr>
                    <w:t xml:space="preserve">Ведется активная работа по сохранению зубра, численность которого в 2015 году составила 196 особей, из которых 25 телят. </w:t>
                  </w:r>
                  <w:proofErr w:type="gramStart"/>
                  <w:r w:rsidRPr="00242C45">
                    <w:rPr>
                      <w:color w:val="000000"/>
                    </w:rPr>
                    <w:t xml:space="preserve">Утвержден План действий по созданию новой </w:t>
                  </w:r>
                  <w:proofErr w:type="spellStart"/>
                  <w:r w:rsidRPr="00242C45">
                    <w:rPr>
                      <w:color w:val="000000"/>
                    </w:rPr>
                    <w:t>микропопуляции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зубра на территории, прилегающей к республиканскому ландшафтному заказнику «</w:t>
                  </w:r>
                  <w:proofErr w:type="spellStart"/>
                  <w:r w:rsidRPr="00242C45">
                    <w:rPr>
                      <w:color w:val="000000"/>
                    </w:rPr>
                    <w:t>Липичанская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пуща», около д. Задворье Мостовского района. </w:t>
                  </w:r>
                  <w:proofErr w:type="gramEnd"/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Одной из основных угроз биологическому разнообразию является распространение чужеродных видов дикорастущих растений, в том числе борщевика Сосновского.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Проводится работа по развитию международного сотрудничества в области сохранения трансграничных природных объектов. 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b/>
                      <w:color w:val="000000"/>
                    </w:rPr>
                  </w:pPr>
                  <w:r w:rsidRPr="00242C45">
                    <w:rPr>
                      <w:b/>
                      <w:color w:val="000000"/>
                    </w:rPr>
                    <w:t>Регулирование обращения с отходами.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Формирование экологической культуры непосредственно связано с соблюдением требований в области охраны окружающей среды при обращении с отходами.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Проблема отходов многогранна. С одной стороны, большинство видов отходов можно рассматривать как вторичные материальные и энергетические ресурсы, с другой – как загрязнители атмосферного воздуха, водных ресурсов, почв, растительности в связи с их токсичными и другими опасными свойствами. 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2014 году в Республике Беларусь образовалось свыше </w:t>
                  </w:r>
                  <w:r w:rsidRPr="00242C45">
                    <w:rPr>
                      <w:color w:val="000000"/>
                    </w:rPr>
                    <w:br/>
                    <w:t>52,5 млн. т отходов производства. Более 70% образующихся в стране отходов приходится на обрабатывающую промышленность. Далее по количеству образующихся отходов следует горнодобывающая промышленность; затем – производство и распределение электроэнергии, газа и воды; строительство; сельское хозяйство.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Основную часть коммунальных отходов (более 60%) составляют отходы потребления, которые образуются в процессе жизнедеятельности человека, не связанной с экономической деятельностью. За последние 15 лет в Беларуси наблюдается постоянный рост образования коммунальных отходов, что обуславливает необходимость принятия эффективных мер по организации их переработки и утилизации.</w:t>
                  </w:r>
                </w:p>
                <w:p w:rsidR="00FA1D0A" w:rsidRPr="00242C45" w:rsidRDefault="00FA1D0A" w:rsidP="00FA1D0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Одним из основных принципов в области обращения с отходами, установленных Законом «Об охране окружающей среды», является приоритетность их использования по отношению к захоронению.</w:t>
                  </w:r>
                </w:p>
                <w:p w:rsidR="00FA1D0A" w:rsidRPr="00242C45" w:rsidRDefault="00FA1D0A" w:rsidP="00FA1D0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Наиболее полно используются отходы растительного и животного происхождения в сельском хозяйстве. </w:t>
                  </w:r>
                </w:p>
                <w:p w:rsidR="00FA1D0A" w:rsidRPr="00242C45" w:rsidRDefault="00FA1D0A" w:rsidP="00FA1D0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Среди отходов минерального происхождения максимально используются вскрышные породы, которые почти в полном объеме применяются для рекультивации нарушенных земель (засыпка карьеров и т.п.). Достаточно высок уровень использования металлургических шлаков, печных обломков, формовочной земли для рекультивации полигонов промышленных отходов. </w:t>
                  </w:r>
                </w:p>
                <w:p w:rsidR="00FA1D0A" w:rsidRPr="00242C45" w:rsidRDefault="00FA1D0A" w:rsidP="00FA1D0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Резиносодержащие отходы используются по двум основным направлениям – получение новых товарных продуктов и в качестве альтернативного топлива цементных заводов. Отходы пластмасс частично используются для производства новой продукции – преимущественно товаров народного потребления.</w:t>
                  </w:r>
                </w:p>
                <w:p w:rsidR="00FA1D0A" w:rsidRPr="00242C45" w:rsidRDefault="00FA1D0A" w:rsidP="00FA1D0A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Отходы строительного производства могут представлять собой вторичное сырье, использование которого после переработки на вторичный щебень и песчано-гравийную смесь и другие продукты может снизить затраты на строительство новых объектов и одновременно уменьшить нагрузку на городские полигоны, исключить образование несанкционированных мест размещения отходов. </w:t>
                  </w:r>
                </w:p>
                <w:p w:rsidR="00FA1D0A" w:rsidRPr="00242C45" w:rsidRDefault="00FA1D0A" w:rsidP="00FA1D0A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целом по республике объем использования отходов производства в 2014 году по сравнению с 2010 годом увеличился на 22% и составил более 81% от объема их образования. К 2015 году прогнозируется достижение значения данного показателя на уровне 85%.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2014 году для </w:t>
                  </w:r>
                  <w:proofErr w:type="gramStart"/>
                  <w:r w:rsidRPr="00242C45">
                    <w:rPr>
                      <w:color w:val="000000"/>
                    </w:rPr>
                    <w:t>г</w:t>
                  </w:r>
                  <w:proofErr w:type="gramEnd"/>
                  <w:r w:rsidRPr="00242C45">
                    <w:rPr>
                      <w:color w:val="000000"/>
                    </w:rPr>
                    <w:t>. Гродно в рамках международного проекта Китайской машиностроительной инжиниринговой корпорацией начато строительство завода по переработке отходов мощностью 120 тыс. тонн/год.  Предприятие будет представлять собой линию передовой сортировки твердых коммунальных отходов собранных раздельно и смешенных с последующей переработкой отделенных вторичных материальных ресурсов и захоронением оставшейся части отходов.  Завод строится в  районе д</w:t>
                  </w:r>
                  <w:proofErr w:type="gramStart"/>
                  <w:r w:rsidRPr="00242C45">
                    <w:rPr>
                      <w:color w:val="000000"/>
                    </w:rPr>
                    <w:t>.Р</w:t>
                  </w:r>
                  <w:proofErr w:type="gramEnd"/>
                  <w:r w:rsidRPr="00242C45">
                    <w:rPr>
                      <w:color w:val="000000"/>
                    </w:rPr>
                    <w:t>огачи Гродненского района (район расположения городского полигона ТКО).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 области созданы производства по переработке изношенных </w:t>
                  </w:r>
                  <w:proofErr w:type="gramStart"/>
                  <w:r w:rsidRPr="00242C45">
                    <w:rPr>
                      <w:color w:val="000000"/>
                    </w:rPr>
                    <w:t>шиш</w:t>
                  </w:r>
                  <w:proofErr w:type="gramEnd"/>
                  <w:r w:rsidRPr="00242C45">
                    <w:rPr>
                      <w:color w:val="000000"/>
                    </w:rPr>
                    <w:t xml:space="preserve"> и резинотехнических изделий, которые  способны обеспечить переработку отходов образующихся не только  на предприятиях области, но и Республики. Так, в настоящее время изношенные шины используются в качестве альтернативного топлива ОАО «</w:t>
                  </w:r>
                  <w:proofErr w:type="spellStart"/>
                  <w:r w:rsidRPr="00242C45">
                    <w:rPr>
                      <w:color w:val="000000"/>
                    </w:rPr>
                    <w:t>Красносельскстройматериалы</w:t>
                  </w:r>
                  <w:proofErr w:type="spellEnd"/>
                  <w:r w:rsidRPr="00242C45">
                    <w:rPr>
                      <w:color w:val="000000"/>
                    </w:rPr>
                    <w:t>», для получения сырья н</w:t>
                  </w:r>
                  <w:proofErr w:type="gramStart"/>
                  <w:r w:rsidRPr="00242C45">
                    <w:rPr>
                      <w:color w:val="000000"/>
                    </w:rPr>
                    <w:t>а ООО</w:t>
                  </w:r>
                  <w:proofErr w:type="gramEnd"/>
                  <w:r w:rsidRPr="00242C45">
                    <w:rPr>
                      <w:color w:val="000000"/>
                    </w:rPr>
                    <w:t xml:space="preserve"> «Экологическая альтернатива», для получения сырья для экспорта на ООО «Экосистем Плюс». Потребность предприятий в изношенных шинах с учетом максимального использования проектных мощностей составляет более 12 тыс. тонн в год. 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 2014 году в области организован  прием изношенных шин на переработку от населения. СООО НПГ «Экологическая альтернатива» открыты  3 приемных пункта (г. Гродно и г</w:t>
                  </w:r>
                  <w:proofErr w:type="gramStart"/>
                  <w:r w:rsidRPr="00242C45">
                    <w:rPr>
                      <w:color w:val="000000"/>
                    </w:rPr>
                    <w:t>.Л</w:t>
                  </w:r>
                  <w:proofErr w:type="gramEnd"/>
                  <w:r w:rsidRPr="00242C45">
                    <w:rPr>
                      <w:color w:val="000000"/>
                    </w:rPr>
                    <w:t>ида).</w:t>
                  </w:r>
                </w:p>
                <w:p w:rsidR="00FA1D0A" w:rsidRPr="00242C45" w:rsidRDefault="00FA1D0A" w:rsidP="00FA1D0A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 целях увеличения объемов использования отходов в 2015 и последующих годах Минприроды внесены предложения по увеличению ставок экологического налога за захоронение отходов производства, а также приняты решения по запрету на захоронение отходов по тем видам, для которых в республике имеются технологии по использованию.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b/>
                      <w:color w:val="000000"/>
                    </w:rPr>
                  </w:pPr>
                  <w:r w:rsidRPr="00242C45">
                    <w:rPr>
                      <w:b/>
                      <w:color w:val="000000"/>
                    </w:rPr>
                    <w:t>Экологическая культура и «зеленая» экономика.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Среди важнейших проблем современности экологические являются наиболее актуальными. Это связано с тем, что человеческое общество, развиваясь, с каждым годом осваивает все новые территории, увеличивает потребление различных </w:t>
                  </w:r>
                  <w:proofErr w:type="spellStart"/>
                  <w:r w:rsidRPr="00242C45">
                    <w:rPr>
                      <w:color w:val="000000"/>
                    </w:rPr>
                    <w:t>невосполняемых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природных ресурсов. Задача заключается в том, чтобы сделать этот процесс цивилизованным, продуманным и грамотным. Такой путь определяется как устойчивое развитие, которое предполагает бережное отношение ко всем ресурсам, гармоничное развитие экономики в сочетании с сохранением природы, обеспечением экологической безопасности и социальным развитием всего общества и каждого человека.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Большинство стран мира в последнее время активизировали свою экологическую политику с целью перехода к модели, в которой экология признана двигателем развития, то есть – к так называемой «зеленой» экономике. Развитые страны мира постепенно увеличивают инвестиции в альтернативные и зеленые энергетические технологии, активно внедряют современные экологические стандарты. Согласно имеющимся оценкам, уже к 2050 году их применение позволит генерировать до 50% всей потребляемой энергии.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Республика Беларусь также рассматривает «зеленую» модель экономики в качестве важного инструмента обеспечения устойчивого развития и экологической безопасности.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 Беларуси сформированы и на системной основе совершенствуются подходы к внедрению «зеленых» принципов экономического развития.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Концептуальной основой является Национальная стратегия </w:t>
                  </w:r>
                  <w:proofErr w:type="gramStart"/>
                  <w:r w:rsidRPr="00242C45">
                    <w:rPr>
                      <w:color w:val="000000"/>
                    </w:rPr>
                    <w:t>устойчивого</w:t>
                  </w:r>
                  <w:proofErr w:type="gramEnd"/>
                  <w:r w:rsidRPr="00242C45">
                    <w:rPr>
                      <w:color w:val="000000"/>
                    </w:rPr>
                    <w:t xml:space="preserve"> развития-2030. Ее стержень – комплексная увязка экономического, социального и экологического компонентов. Согласно данному программному документу, экология входит в число основных составляющих, по которым выстроены стратегические приоритеты долгосрочного развития. И это является свидетельством повышенного внимания к данной сфере в нашей стране.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Сегодня на уровне органов государственного управления, общественных объединений, </w:t>
                  </w:r>
                  <w:proofErr w:type="spellStart"/>
                  <w:proofErr w:type="gramStart"/>
                  <w:r w:rsidRPr="00242C45">
                    <w:rPr>
                      <w:color w:val="000000"/>
                    </w:rPr>
                    <w:t>бизнес-структур</w:t>
                  </w:r>
                  <w:proofErr w:type="spellEnd"/>
                  <w:proofErr w:type="gramEnd"/>
                  <w:r w:rsidRPr="00242C45">
                    <w:rPr>
                      <w:color w:val="000000"/>
                    </w:rPr>
                    <w:t xml:space="preserve"> принимаются меры, направленные на повышение эффективности реализации государственной экологической политики, осуществляются конкретные шаги по «озеленению» экономики, в том числе: 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внедряются современные </w:t>
                  </w:r>
                  <w:proofErr w:type="spellStart"/>
                  <w:r w:rsidRPr="00242C45">
                    <w:rPr>
                      <w:color w:val="000000"/>
                    </w:rPr>
                    <w:t>энергоэффективные</w:t>
                  </w:r>
                  <w:proofErr w:type="spellEnd"/>
                  <w:r w:rsidRPr="00242C45">
                    <w:rPr>
                      <w:color w:val="000000"/>
                    </w:rPr>
                    <w:t xml:space="preserve"> технологии;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расширяется использование возобновляемых источников энергии, таких как: солнечная, ветровая, геотермальная энергия, </w:t>
                  </w:r>
                  <w:proofErr w:type="spellStart"/>
                  <w:r w:rsidRPr="00242C45">
                    <w:rPr>
                      <w:color w:val="000000"/>
                    </w:rPr>
                    <w:t>биогаз</w:t>
                  </w:r>
                  <w:proofErr w:type="spellEnd"/>
                  <w:r w:rsidRPr="00242C45">
                    <w:rPr>
                      <w:color w:val="000000"/>
                    </w:rPr>
                    <w:t>;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осуществляется строительство «зеленых» жилых кварталов и микрорайонов;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совершенствуется система управления отходами;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все более широкое применение находят экологически безопасные технологии производства сельскохозяйственной продукции;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увеличивается доля транспортных средств, соответствующих современным экологическим требованиям, расширяется применение альтернативных видов топлива и многое другое.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>Все это является свидетельством того, что «зеленая» модернизация страны набирает темпы.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Целенаправленная работа всех заинтересованных структур способствует тому, что Беларусь укрепляет свои позиции по экологическим показателям на международном уровне. По Индексу экологической эффективности Республика Беларусь с 73-го места в 2005 году переместилась на 32-е в 2014 году. 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</w:rPr>
                  </w:pPr>
                  <w:r w:rsidRPr="00242C45">
                    <w:rPr>
                      <w:color w:val="000000"/>
                    </w:rPr>
                    <w:t xml:space="preserve">Хотя и незначительно, но все же растет разница между </w:t>
                  </w:r>
                  <w:proofErr w:type="spellStart"/>
                  <w:r w:rsidRPr="00242C45">
                    <w:rPr>
                      <w:color w:val="000000"/>
                    </w:rPr>
                    <w:t>ресурсопотреблением</w:t>
                  </w:r>
                  <w:proofErr w:type="spellEnd"/>
                  <w:r w:rsidRPr="00242C45">
                    <w:rPr>
                      <w:color w:val="000000"/>
                    </w:rPr>
                    <w:t xml:space="preserve"> и способностью окружающей среды к самовосстановлению. Все это является доказательством того, что экологическая политика Республики Беларусь за последние 20 лет позволила не только сдерживать негативное воздействие хозяйственной деятельности на целостность экосистем, но и обеспечить улучшение экологической ситуации в стране.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  <w:lang w:val="be-BY"/>
                    </w:rPr>
                  </w:pPr>
                  <w:r w:rsidRPr="00242C45">
                    <w:rPr>
                      <w:color w:val="000000"/>
                    </w:rPr>
                    <w:t xml:space="preserve">Успех реализации стратегии «озеленения» экономики и устойчивого развития в целом зависит от активной позиции, личной заинтересованности каждого гражданина страны. Только общими усилиями государства, бизнеса и гражданского </w:t>
                  </w:r>
                  <w:proofErr w:type="gramStart"/>
                  <w:r w:rsidRPr="00242C45">
                    <w:rPr>
                      <w:color w:val="000000"/>
                    </w:rPr>
                    <w:t>общества</w:t>
                  </w:r>
                  <w:proofErr w:type="gramEnd"/>
                  <w:r w:rsidRPr="00242C45">
                    <w:rPr>
                      <w:color w:val="000000"/>
                    </w:rPr>
                    <w:t xml:space="preserve"> возможно достичь устойчивого социально-экологического развития посредством применения инновационных механизмов, которые позволят не только сохранить окружающую среду, но и вывести экономику на новый уровень развития.</w:t>
                  </w:r>
                </w:p>
                <w:p w:rsidR="00FA1D0A" w:rsidRPr="00242C45" w:rsidRDefault="00FA1D0A" w:rsidP="00FA1D0A">
                  <w:pPr>
                    <w:tabs>
                      <w:tab w:val="left" w:pos="2730"/>
                    </w:tabs>
                    <w:ind w:firstLine="709"/>
                    <w:jc w:val="both"/>
                    <w:rPr>
                      <w:color w:val="000000"/>
                      <w:lang w:val="be-BY"/>
                    </w:rPr>
                  </w:pPr>
                </w:p>
                <w:p w:rsidR="00FA1D0A" w:rsidRPr="00242C45" w:rsidRDefault="00FA1D0A" w:rsidP="00FA1D0A">
                  <w:pPr>
                    <w:pStyle w:val="a5"/>
                    <w:numPr>
                      <w:ilvl w:val="0"/>
                      <w:numId w:val="2"/>
                    </w:numPr>
                    <w:ind w:left="0" w:firstLine="709"/>
                    <w:jc w:val="center"/>
                    <w:rPr>
                      <w:rFonts w:ascii="Times New Roman" w:hAnsi="Times New Roman"/>
                      <w:b/>
                      <w:lang w:val="be-BY"/>
                    </w:rPr>
                  </w:pPr>
                  <w:r w:rsidRPr="00242C45">
                    <w:rPr>
                      <w:rFonts w:ascii="Times New Roman" w:hAnsi="Times New Roman"/>
                      <w:b/>
                      <w:lang w:val="be-BY"/>
                    </w:rPr>
                    <w:t>Выборы Президента Республики Беларусь: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center"/>
                    <w:rPr>
                      <w:rFonts w:ascii="Times New Roman" w:hAnsi="Times New Roman"/>
                      <w:b/>
                      <w:lang w:val="be-BY"/>
                    </w:rPr>
                  </w:pPr>
                  <w:r w:rsidRPr="00242C45">
                    <w:rPr>
                      <w:rFonts w:ascii="Times New Roman" w:hAnsi="Times New Roman"/>
                      <w:b/>
                      <w:lang w:val="be-BY"/>
                    </w:rPr>
                    <w:t>вопросы избирательного законодательства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Согласно Конституции Республики Беларусь Президент Республики Беларусь избирается сроком на пять лет и вступает в должность после принесения Присяги.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 xml:space="preserve">Выборы Президента Республики Беларусь назначаются Палатой представителей Национального собрания Республики Беларусь не </w:t>
                  </w:r>
                  <w:proofErr w:type="gramStart"/>
                  <w:r w:rsidRPr="00242C45">
                    <w:rPr>
                      <w:rFonts w:ascii="Times New Roman" w:hAnsi="Times New Roman"/>
                    </w:rPr>
                    <w:t>позднее</w:t>
                  </w:r>
                  <w:proofErr w:type="gramEnd"/>
                  <w:r w:rsidRPr="00242C45">
                    <w:rPr>
                      <w:rFonts w:ascii="Times New Roman" w:hAnsi="Times New Roman"/>
                    </w:rPr>
                    <w:t xml:space="preserve"> чем за пять месяцев и проводятся в воскресенье не позднее чем за два месяца до истечения срока полномочий действующего Президента.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Президент Республики Беларусь принес Присягу 21 января 2011 г. и соответственно очередные выборы должны состояться не позднее 15 ноября 2015 г., назначены Выборы Президента Республики Беларусь на 11 октября 2015 года.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В соответствии с Конституцией Республики Беларусь Президентом Республики Беларусь может быть избран гражданин Республики Беларусь по рождению, не моложе 35 лет, обладающий избирательным правом и постоянно проживающий в Республике Беларусь не менее десяти лет непосредственно перед выборами. Не вправе быть кандидатом в Президенты Республики Беларусь гражданин, имеющий судимость.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Общие правовые нормы о порядке избрания Президента Республики Беларусь установлены Конституцией. Детально порядок проведения выборов Президента урегулирован Избирательным кодексом Республики Беларусь.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Подготовку и проведение выборов Президента Республики Беларусь обеспечивают следующие избирательные комиссии: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- Центральная комиссия Республики Беларусь по проведению выборов и республиканских референдумов;</w:t>
                  </w:r>
                  <w:r w:rsidRPr="00242C45">
                    <w:rPr>
                      <w:rFonts w:ascii="Times New Roman" w:hAnsi="Times New Roman"/>
                    </w:rPr>
                    <w:tab/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 xml:space="preserve">- областные и Минская городская территориальные комиссии, образуемые президиумами областных, Минского городского Советов депутатов и областными, Минским городским исполкомами в составе 9-13 членов не </w:t>
                  </w:r>
                  <w:proofErr w:type="gramStart"/>
                  <w:r w:rsidRPr="00242C45">
                    <w:rPr>
                      <w:rFonts w:ascii="Times New Roman" w:hAnsi="Times New Roman"/>
                    </w:rPr>
                    <w:t>позднее</w:t>
                  </w:r>
                  <w:proofErr w:type="gramEnd"/>
                  <w:r w:rsidRPr="00242C45">
                    <w:rPr>
                      <w:rFonts w:ascii="Times New Roman" w:hAnsi="Times New Roman"/>
                    </w:rPr>
                    <w:t xml:space="preserve"> чем за 80 дней до выборов;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 xml:space="preserve">- районные и городские территориальные комиссии, образуемые президиумами районных и городских Советов депутатов и районными, городскими исполкомами, а также районные в городах территориальные комиссии, образуемые президиумами городских Советов депутатов и городскими исполкомами в составе 9-13 членов не </w:t>
                  </w:r>
                  <w:proofErr w:type="gramStart"/>
                  <w:r w:rsidRPr="00242C45">
                    <w:rPr>
                      <w:rFonts w:ascii="Times New Roman" w:hAnsi="Times New Roman"/>
                    </w:rPr>
                    <w:t>позднее</w:t>
                  </w:r>
                  <w:proofErr w:type="gramEnd"/>
                  <w:r w:rsidRPr="00242C45">
                    <w:rPr>
                      <w:rFonts w:ascii="Times New Roman" w:hAnsi="Times New Roman"/>
                    </w:rPr>
                    <w:t xml:space="preserve"> чем за 80 дней до выборов;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 xml:space="preserve">- участковые комиссии, образуемые районными, городскими исполкомами и администрациями районов в городах в составе 5-19 членов не </w:t>
                  </w:r>
                  <w:proofErr w:type="gramStart"/>
                  <w:r w:rsidRPr="00242C45">
                    <w:rPr>
                      <w:rFonts w:ascii="Times New Roman" w:hAnsi="Times New Roman"/>
                    </w:rPr>
                    <w:t>позднее</w:t>
                  </w:r>
                  <w:proofErr w:type="gramEnd"/>
                  <w:r w:rsidRPr="00242C45">
                    <w:rPr>
                      <w:rFonts w:ascii="Times New Roman" w:hAnsi="Times New Roman"/>
                    </w:rPr>
                    <w:t xml:space="preserve"> чем за 45 дней до выборов.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По Гродненской области подготовку к проведению выборов будет осуществлять областная комиссия, 17 районных территориальных комиссий, Ленинская и Октябрьская районные комиссии г</w:t>
                  </w:r>
                  <w:proofErr w:type="gramStart"/>
                  <w:r w:rsidRPr="00242C45">
                    <w:rPr>
                      <w:rFonts w:ascii="Times New Roman" w:hAnsi="Times New Roman"/>
                    </w:rPr>
                    <w:t>.Г</w:t>
                  </w:r>
                  <w:proofErr w:type="gramEnd"/>
                  <w:r w:rsidRPr="00242C45">
                    <w:rPr>
                      <w:rFonts w:ascii="Times New Roman" w:hAnsi="Times New Roman"/>
                    </w:rPr>
                    <w:t>родно и 696 участковых комиссий по выборам Президента Республики Беларусь. Как правило, при проведении Выборов Президента Республики Беларусь по нашей области только в территориальных и участковых комиссиях работает более 9 тысяч человек. На предыдущих Президентских выборах наблюдение на заседаниях комиссий и участках для голосования осуществляло более 5500 наблюдателей.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Выдвигать своих представителей в состав территориальных и участковых избирательных комиссий вправе: политические партии и другие общественные объединения; трудовые коллективы организаций или их структурных подразделений; граждане в количестве не менее 10 человек путем подачи заявления.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В составы территориальных и участковых комиссий включается, как правило, не менее одной трети представителей политических партий и других общественных объединений. Государственные служащие могут составлять не более одной трети состава комиссии. Не могут входить в состав этих комиссий судьи, прокуроры, руководители местных исполнительных и распорядительных органов.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Кандидаты на должность Президента выдвигаются гражданами Республики Беларусь при наличии не менее 100 000 подписей избирателей.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Выдвижение кандидата в Президенты гражданами осуществляется инициативной группой избирателей в количестве не менее 100 человек. Инициативная группа для сбора подписей избирателей в поддержку кандидата должна быть зарегистрирована Центральной комиссией.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В процессе сбора подписей в поддержку кандидатов не допускается участие администрации организации, принуждение и вознаграждение избирателей за внесение подписи.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 xml:space="preserve">С 23 июля по 21 августа 2015 инициативными группами будет осуществляться сбор подписей в поддержку выдвижения кандидатов в Президенты Республики Беларусь. 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Сбор подписей может проводиться в форме пикетирования в местах, не запрещенных местными исполнительными и распорядительными органами.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Регистрация кандидатов в Президенты осуществляется Центральной комиссией. Регистрация начинается за 35 дней и заканчивается за 25 дней до выборов.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Для регистрации гражданин, выдвинутый кандидатом в Президенты, представляет: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письменное заявление о согласии баллотироваться кандидатом в Президенты;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биографические данные по установленной Центральной комиссией форме;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копии документов об образовании, месте работы, должности (занятии);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декларацию о своих доходах и имуществе, а также супруги (супруга) и    совершеннолетних    близких    родственников,    совместно    с    ним проживающих и ведущих общее хозяйство, по установленной Советом Министров Республики Беларусь форме;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финансовый отчет о расходовании средств избирательного фонда, если он был создан указанным лицом.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Решение о регистрации кандидата в Президенты принимается Центральной комиссией на основании вышеназванных документов, а также протоколов территориальных избирательных комиссий о результатах проверки достоверности собранных инициативной группой подписей избирателей. После регистрации кандидатам выдаются соответствующие удостоверения.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Центральная комиссия отказывает в регистрации кандидата в Президенты в установленных Избирательным кодексом случаях, в частности, при несоответствии выдвинутого лица требованиям к кандидату в Президенты, наличии у него судимости, несоблюдении порядка его выдвижения, недостаточном количестве собранных подписей и при наличии других нарушений законодательства, предусмотренных статьей 68' Избирательного кодекса. Решение об отказе в регистрации может быть обжаловано в Верховный Суд Республики Беларусь.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Кандидат в Президенты вправе иметь до 30 доверенных лиц, которые помогают кандидату в проведении избирательной кампании, ведут агитацию и представляют его интересы во взаимоотношениях с государственными органами, общественными объединениями, избирателями и в избирательных комиссиях.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Кандидаты в Президенты вправе создавать собственные избирательные фонды для финансирования расходов по предвыборной агитации в размере не свыше 9 000 базовых величин. Избирательные фонды    кандидатов    в    Президенты    могут    формироваться    за    счет собственных денежных средств кандидата, добровольных пожертвований граждан Республики Беларусь и юридических лиц. Для формирования собственного избирательного фонда кандидат открывает специальный избирательный счет в подразделении открытого акционерного общества «Сберегательный банк «</w:t>
                  </w:r>
                  <w:proofErr w:type="spellStart"/>
                  <w:r w:rsidRPr="00242C45">
                    <w:rPr>
                      <w:rFonts w:ascii="Times New Roman" w:hAnsi="Times New Roman"/>
                    </w:rPr>
                    <w:t>Беларусбанк</w:t>
                  </w:r>
                  <w:proofErr w:type="spellEnd"/>
                  <w:r w:rsidRPr="00242C45">
                    <w:rPr>
                      <w:rFonts w:ascii="Times New Roman" w:hAnsi="Times New Roman"/>
                    </w:rPr>
                    <w:t>».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Собственный избирательный фонд может быть создан и до регистрации лица кандидатом в Президенты для оплаты расходов и услуг, связанных со сбором подписей избирателей, в том числе для оплаты труда членов инициативной группы.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 xml:space="preserve">До 16 сентября 2015 года мы узнаем кандидатов в Президенты Республики Беларусь. С этого момента будет дан старт агитационной кампании. 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Предвыборная агитация за избрание кандидатов в Президенты может осуществляться на собраниях, митингах, в средствах массовой информации и на встречах с избирателями.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Для проведения встреч с избирателями местные исполнительные и распорядительные органы по согласованию с избирательными комиссиями определяют и бесплатно предоставляют кандидатам в Президенты помещения.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Кандидаты в Президенты, их доверенные лица вправе проводить в упрощенном уведомительном порядке массовые мероприятия (собрания вне помещений, митинги, пикетирование) для целей агитации в местах, определенных местными исполнительными и распорядительными органами по согласованию с избирательными комиссиями.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Кандидаты в Президенты вправе изготавливать за счет средств собственных избирательных фондов агитационные печатные материалы (плакаты, листовки и другие материалы).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Центральная комиссия изготавливает общие плакаты с биографическими данными о кандидатах в Президенты, а также информационные материалы о них для направления избирателям.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Кандидаты в Президенты на равных правах пользуются государственными средствами массовой информации. Кандидаты вправе бесплатно опубликовать в средствах массовой информации предвыборные программы, выступить по государственному телевидению и по радио, принять участие в теле дебатах.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Агитация в день голосования не допускается.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Голосование избирателей осуществляется на участках для</w:t>
                  </w:r>
                  <w:r w:rsidRPr="00242C45">
                    <w:rPr>
                      <w:rFonts w:ascii="Times New Roman" w:hAnsi="Times New Roman"/>
                    </w:rPr>
                    <w:br/>
                    <w:t>голосования, образуемых в период избирательной кампании по</w:t>
                  </w:r>
                  <w:r w:rsidRPr="00242C45">
                    <w:rPr>
                      <w:rFonts w:ascii="Times New Roman" w:hAnsi="Times New Roman"/>
                    </w:rPr>
                    <w:br/>
                    <w:t>территориальному принципу. Информация об их местонахождении</w:t>
                  </w:r>
                  <w:r w:rsidRPr="00242C45">
                    <w:rPr>
                      <w:rFonts w:ascii="Times New Roman" w:hAnsi="Times New Roman"/>
                    </w:rPr>
                    <w:br/>
                    <w:t>публикуется для сведения избирателей местными исполнительными и</w:t>
                  </w:r>
                  <w:r w:rsidRPr="00242C45">
                    <w:rPr>
                      <w:rFonts w:ascii="Times New Roman" w:hAnsi="Times New Roman"/>
                    </w:rPr>
                    <w:br/>
                    <w:t>распорядительными органами. Участковые комиссии направляют</w:t>
                  </w:r>
                  <w:r w:rsidRPr="00242C45">
                    <w:rPr>
                      <w:rFonts w:ascii="Times New Roman" w:hAnsi="Times New Roman"/>
                    </w:rPr>
                    <w:br/>
                    <w:t>избирателям оповещения о времени и месте голосования. Избиратели</w:t>
                  </w:r>
                  <w:r w:rsidRPr="00242C45">
                    <w:rPr>
                      <w:rFonts w:ascii="Times New Roman" w:hAnsi="Times New Roman"/>
                    </w:rPr>
                    <w:br/>
                    <w:t>голосуют на участках по месту своего жительства, а граждане,</w:t>
                  </w:r>
                  <w:r w:rsidRPr="00242C45">
                    <w:rPr>
                      <w:rFonts w:ascii="Times New Roman" w:hAnsi="Times New Roman"/>
                    </w:rPr>
                    <w:br/>
                    <w:t>зарегистрированные по месту пребывания - на участках для голосования</w:t>
                  </w:r>
                  <w:r w:rsidRPr="00242C45">
                    <w:rPr>
                      <w:rFonts w:ascii="Times New Roman" w:hAnsi="Times New Roman"/>
                    </w:rPr>
                    <w:br/>
                    <w:t>по месту пребывания. Для голосования военнослужащих и других</w:t>
                  </w:r>
                  <w:r w:rsidRPr="00242C45">
                    <w:rPr>
                      <w:rFonts w:ascii="Times New Roman" w:hAnsi="Times New Roman"/>
                    </w:rPr>
                    <w:br/>
                    <w:t>избирателей, проживающих в районах расположения воинских частей,</w:t>
                  </w:r>
                  <w:r w:rsidRPr="00242C45">
                    <w:rPr>
                      <w:rFonts w:ascii="Times New Roman" w:hAnsi="Times New Roman"/>
                    </w:rPr>
                    <w:br/>
                    <w:t>создаются участки для голосования в воинских частях. Для голосования</w:t>
                  </w:r>
                  <w:r w:rsidRPr="00242C45">
                    <w:rPr>
                      <w:rFonts w:ascii="Times New Roman" w:hAnsi="Times New Roman"/>
                    </w:rPr>
                    <w:br/>
                    <w:t>избирателей, находящихся в санаториях, профилакториях, домах отдыха,</w:t>
                  </w:r>
                  <w:r w:rsidRPr="00242C45">
                    <w:rPr>
                      <w:rFonts w:ascii="Times New Roman" w:hAnsi="Times New Roman"/>
                    </w:rPr>
                    <w:br/>
                    <w:t>больницах и других организациях здравоохранения, создаются участки в</w:t>
                  </w:r>
                  <w:r w:rsidRPr="00242C45">
                    <w:rPr>
                      <w:rFonts w:ascii="Times New Roman" w:hAnsi="Times New Roman"/>
                    </w:rPr>
                    <w:br/>
                    <w:t>соответствующих        перечисленных        организациях.</w:t>
                  </w:r>
                  <w:r w:rsidRPr="00242C45">
                    <w:rPr>
                      <w:rFonts w:ascii="Times New Roman" w:hAnsi="Times New Roman"/>
                    </w:rPr>
                    <w:tab/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  <w:spacing w:val="-1"/>
                    </w:rPr>
                    <w:t xml:space="preserve">Избиратели, </w:t>
                  </w:r>
                  <w:r w:rsidRPr="00242C45">
                    <w:rPr>
                      <w:rFonts w:ascii="Times New Roman" w:hAnsi="Times New Roman"/>
                    </w:rPr>
                    <w:t>находящиеся за пределами Республики Беларусь, голосуют на участках для голосования, образованных руководителями соответствующих дипломатических представительств (консульских учреждений). Избиратели имеют возможность при необходимости проголосовать досрочно в течение пяти дней до выборов, а также по месту своего нахождения, если в день выборов они по состоянию здоровья или другим уважительным причинам не могут прийти в помещение для голосования.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При проведении выборов вправе присутствовать наблюдатели, в том числе доверенные лица кандидатов, представители политических партий и других общественных объединений, иностранных государств и международных организаций, а также представители средств массовой информации. Кандидаты в Президенты вправе присутствовать на участках для голосования при подсчете голосов избирателей.</w:t>
                  </w:r>
                </w:p>
                <w:p w:rsidR="00FA1D0A" w:rsidRPr="00242C45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Итоги выборов устанавливаются Центральной комиссией на основании протоколов областных, Минской городской комиссий по выборам Президента, составленных на основании протоколов нижестоящих комиссий о результатах подсчета голосов по участкам для голосования и результатах голосования по районам, городам, районам в городах. Сообщение об итогах выборов Президента Республики Беларусь обнародуется в средствах массовой информации.</w:t>
                  </w:r>
                </w:p>
                <w:p w:rsidR="00FA1D0A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242C45">
                    <w:rPr>
                      <w:rFonts w:ascii="Times New Roman" w:hAnsi="Times New Roman"/>
                    </w:rPr>
                    <w:t>Выборы Президента считаются состоявшимися, если в голосовании приняло участие более половины граждан Республики Беларусь, включенных в списки избирателей. Президент считается избранным, если за него проголосовало более половины граждан Республики Беларусь, принявших участие в голосовании.</w:t>
                  </w:r>
                </w:p>
                <w:p w:rsidR="00FA1D0A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</w:p>
                <w:p w:rsidR="00FA1D0A" w:rsidRPr="00FA1D0A" w:rsidRDefault="00FA1D0A" w:rsidP="00FA1D0A">
                  <w:pPr>
                    <w:pStyle w:val="a5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FA1D0A">
                    <w:rPr>
                      <w:rFonts w:ascii="Times New Roman" w:hAnsi="Times New Roman"/>
                      <w:b/>
                    </w:rPr>
                    <w:t xml:space="preserve">ИЗ ОПЫТА РАБОТЫ ИНФОРМАЦИОННО-ПРОПАГАНДИСТСКИХ ГРУПП </w:t>
                  </w:r>
                  <w:r>
                    <w:rPr>
                      <w:rFonts w:ascii="Times New Roman" w:hAnsi="Times New Roman"/>
                      <w:b/>
                    </w:rPr>
                    <w:t>УЖРЭП ЛЕНИНСКОГО РАЙОНА Г</w:t>
                  </w:r>
                  <w:r w:rsidRPr="00FA1D0A">
                    <w:rPr>
                      <w:rFonts w:ascii="Times New Roman" w:hAnsi="Times New Roman"/>
                      <w:b/>
                    </w:rPr>
                    <w:t xml:space="preserve">.ГРОДНО </w:t>
                  </w:r>
                </w:p>
                <w:p w:rsidR="00FA1D0A" w:rsidRPr="0059524F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59524F">
                    <w:rPr>
                      <w:rFonts w:ascii="Times New Roman" w:hAnsi="Times New Roman"/>
                    </w:rPr>
                    <w:t xml:space="preserve">В рамках информационно-пропагандистской работы  в 2014 г. в трудовых коллективах предприятия проведено  12 единых дней информирования, на которых выступили  члены ИПГ Гродненского облисполкома, администрации  Ленинского района г. Гродно,  члены ИПГ предприятия. </w:t>
                  </w:r>
                </w:p>
                <w:p w:rsidR="00FA1D0A" w:rsidRPr="0059524F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59524F">
                    <w:rPr>
                      <w:rFonts w:ascii="Times New Roman" w:hAnsi="Times New Roman"/>
                    </w:rPr>
                    <w:t xml:space="preserve">Анализ деятельности ИПГ показывает, что при исключении формализма в проведении единых дней информирования, их информационно-разъяснительная и воспитательная функции довольно значительные, востребованы и   пользуются доверием в трудовых коллективах. </w:t>
                  </w:r>
                </w:p>
                <w:p w:rsidR="00FA1D0A" w:rsidRPr="0059524F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59524F">
                    <w:rPr>
                      <w:rFonts w:ascii="Times New Roman" w:hAnsi="Times New Roman"/>
                    </w:rPr>
                    <w:t xml:space="preserve">При этом планирование выступлений руководящего состава предприятия </w:t>
                  </w:r>
                  <w:proofErr w:type="gramStart"/>
                  <w:r w:rsidRPr="0059524F">
                    <w:rPr>
                      <w:rFonts w:ascii="Times New Roman" w:hAnsi="Times New Roman"/>
                    </w:rPr>
                    <w:t xml:space="preserve">( </w:t>
                  </w:r>
                  <w:proofErr w:type="gramEnd"/>
                  <w:r w:rsidRPr="0059524F">
                    <w:rPr>
                      <w:rFonts w:ascii="Times New Roman" w:hAnsi="Times New Roman"/>
                    </w:rPr>
                    <w:t xml:space="preserve">директора, заместителей, начальников  отделов и служб) осуществляется прежде всего в так называемых «проблемных» трудовых коллективах структурных  подразделений, где на недостаточном уровне поддерживается исполнительская и трудовая дисциплина, имеют место  недостатки в выполнении производственных задач, а </w:t>
                  </w:r>
                  <w:proofErr w:type="spellStart"/>
                  <w:r w:rsidRPr="0059524F">
                    <w:rPr>
                      <w:rFonts w:ascii="Times New Roman" w:hAnsi="Times New Roman"/>
                    </w:rPr>
                    <w:t>внутриколлективные</w:t>
                  </w:r>
                  <w:proofErr w:type="spellEnd"/>
                  <w:r w:rsidRPr="0059524F">
                    <w:rPr>
                      <w:rFonts w:ascii="Times New Roman" w:hAnsi="Times New Roman"/>
                    </w:rPr>
                    <w:t xml:space="preserve"> отношения вызывают обеспокоенность у  руководства.  </w:t>
                  </w:r>
                </w:p>
                <w:p w:rsidR="00FA1D0A" w:rsidRPr="0059524F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59524F">
                    <w:rPr>
                      <w:rFonts w:ascii="Times New Roman" w:hAnsi="Times New Roman"/>
                    </w:rPr>
                    <w:t xml:space="preserve">Такой подход позволяет знать настроения людей на местах, учитывать их критические замечания, высказанные в  ходе прямого диалога, и принимать оперативные меры по разрешению проблемных вопросов. Серьезным подспорьем в информационно-пропагандистской работе с людьми являются выступления профессиональных лекторов Гродненской областной организации  РОО «Белорусское общество «Знание» и др. специалистов.  Так, перед работниками предприятия выступали доцент  кафедры истории Гр. ГУ имени Я.Купалы, кандидат исторических наук Егорычев В.Е., преподаватель военного факультета </w:t>
                  </w:r>
                  <w:proofErr w:type="spellStart"/>
                  <w:r w:rsidRPr="0059524F">
                    <w:rPr>
                      <w:rFonts w:ascii="Times New Roman" w:hAnsi="Times New Roman"/>
                    </w:rPr>
                    <w:t>Гр</w:t>
                  </w:r>
                  <w:proofErr w:type="gramStart"/>
                  <w:r w:rsidRPr="0059524F">
                    <w:rPr>
                      <w:rFonts w:ascii="Times New Roman" w:hAnsi="Times New Roman"/>
                    </w:rPr>
                    <w:t>.Г</w:t>
                  </w:r>
                  <w:proofErr w:type="gramEnd"/>
                  <w:r w:rsidRPr="0059524F">
                    <w:rPr>
                      <w:rFonts w:ascii="Times New Roman" w:hAnsi="Times New Roman"/>
                    </w:rPr>
                    <w:t>У</w:t>
                  </w:r>
                  <w:proofErr w:type="spellEnd"/>
                  <w:r w:rsidRPr="0059524F"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 w:rsidRPr="0059524F">
                    <w:rPr>
                      <w:rFonts w:ascii="Times New Roman" w:hAnsi="Times New Roman"/>
                    </w:rPr>
                    <w:t>Севенко</w:t>
                  </w:r>
                  <w:proofErr w:type="spellEnd"/>
                  <w:r w:rsidRPr="0059524F">
                    <w:rPr>
                      <w:rFonts w:ascii="Times New Roman" w:hAnsi="Times New Roman"/>
                    </w:rPr>
                    <w:t xml:space="preserve"> А.В. </w:t>
                  </w:r>
                </w:p>
                <w:p w:rsidR="00FA1D0A" w:rsidRPr="0059524F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59524F">
                    <w:rPr>
                      <w:rFonts w:ascii="Times New Roman" w:hAnsi="Times New Roman"/>
                    </w:rPr>
                    <w:t xml:space="preserve">При проведении ЕДИ приглашались сотрудники прокуратуры  </w:t>
                  </w:r>
                  <w:proofErr w:type="gramStart"/>
                  <w:r w:rsidRPr="0059524F">
                    <w:rPr>
                      <w:rFonts w:ascii="Times New Roman" w:hAnsi="Times New Roman"/>
                    </w:rPr>
                    <w:t>г</w:t>
                  </w:r>
                  <w:proofErr w:type="gramEnd"/>
                  <w:r w:rsidRPr="0059524F">
                    <w:rPr>
                      <w:rFonts w:ascii="Times New Roman" w:hAnsi="Times New Roman"/>
                    </w:rPr>
                    <w:t>. Гродно  и РОВД Ленинского района.</w:t>
                  </w:r>
                </w:p>
                <w:p w:rsidR="00FA1D0A" w:rsidRPr="0059524F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</w:p>
                <w:p w:rsidR="00FA1D0A" w:rsidRDefault="00FA1D0A" w:rsidP="00FA1D0A">
                  <w:pPr>
                    <w:rPr>
                      <w:b/>
                    </w:rPr>
                  </w:pPr>
                </w:p>
                <w:p w:rsidR="00FA1D0A" w:rsidRDefault="00FA1D0A" w:rsidP="00FA1D0A">
                  <w:pPr>
                    <w:rPr>
                      <w:b/>
                    </w:rPr>
                  </w:pPr>
                </w:p>
                <w:p w:rsidR="00FA1D0A" w:rsidRDefault="00FA1D0A" w:rsidP="00FA1D0A">
                  <w:pPr>
                    <w:rPr>
                      <w:b/>
                    </w:rPr>
                  </w:pPr>
                </w:p>
                <w:p w:rsidR="00FA1D0A" w:rsidRDefault="00FA1D0A" w:rsidP="00FA1D0A">
                  <w:pPr>
                    <w:rPr>
                      <w:b/>
                    </w:rPr>
                  </w:pPr>
                </w:p>
                <w:p w:rsidR="00FA1D0A" w:rsidRPr="00B94892" w:rsidRDefault="00FA1D0A" w:rsidP="00FA1D0A">
                  <w:pPr>
                    <w:rPr>
                      <w:b/>
                      <w:sz w:val="22"/>
                      <w:szCs w:val="22"/>
                    </w:rPr>
                  </w:pPr>
                  <w:r w:rsidRPr="00B94892">
                    <w:rPr>
                      <w:b/>
                      <w:sz w:val="22"/>
                      <w:szCs w:val="22"/>
                    </w:rPr>
                    <w:t>ПРИКАЗ</w:t>
                  </w:r>
                </w:p>
                <w:p w:rsidR="00FA1D0A" w:rsidRPr="00B94892" w:rsidRDefault="00FA1D0A" w:rsidP="00FA1D0A">
                  <w:pPr>
                    <w:rPr>
                      <w:b/>
                      <w:sz w:val="22"/>
                      <w:szCs w:val="22"/>
                    </w:rPr>
                  </w:pPr>
                  <w:r w:rsidRPr="00B94892">
                    <w:rPr>
                      <w:sz w:val="22"/>
                      <w:szCs w:val="22"/>
                    </w:rPr>
                    <w:t>Об объявлении состава информационно-</w:t>
                  </w:r>
                </w:p>
                <w:p w:rsidR="00FA1D0A" w:rsidRPr="00B94892" w:rsidRDefault="00FA1D0A" w:rsidP="00FA1D0A">
                  <w:pPr>
                    <w:rPr>
                      <w:b/>
                      <w:sz w:val="22"/>
                      <w:szCs w:val="22"/>
                    </w:rPr>
                  </w:pPr>
                  <w:r w:rsidRPr="00B94892">
                    <w:rPr>
                      <w:sz w:val="22"/>
                      <w:szCs w:val="22"/>
                    </w:rPr>
                    <w:t>пропагандистской группы предприятия.</w:t>
                  </w:r>
                </w:p>
                <w:p w:rsidR="00FA1D0A" w:rsidRDefault="00FA1D0A" w:rsidP="00FA1D0A"/>
                <w:p w:rsidR="00FA1D0A" w:rsidRPr="00B94892" w:rsidRDefault="00FA1D0A" w:rsidP="00FA1D0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B94892">
                    <w:rPr>
                      <w:sz w:val="22"/>
                      <w:szCs w:val="22"/>
                    </w:rPr>
                    <w:tab/>
                  </w:r>
                  <w:proofErr w:type="gramStart"/>
                  <w:r w:rsidRPr="00B94892">
                    <w:rPr>
                      <w:sz w:val="22"/>
                      <w:szCs w:val="22"/>
                    </w:rPr>
                    <w:t>Во исполнение Указа Президента Республики Беларусь от 16 июня 2003 г. № 254 «О деятельности информационно-пропагандистских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работе», приказа Министерства жилищно-коммунального хозяйства Республики Беларусь от 15 марта 2006 г. № 48 «Об отраслевых информационно-пропагандистских группах», а также приказа Управления ЖКХ Гродненского облисполкома от 23 марта 2006 г</w:t>
                  </w:r>
                  <w:proofErr w:type="gramEnd"/>
                  <w:r w:rsidRPr="00B94892">
                    <w:rPr>
                      <w:sz w:val="22"/>
                      <w:szCs w:val="22"/>
                    </w:rPr>
                    <w:t>. № 43 «О проведении Единого дня информирования»</w:t>
                  </w:r>
                </w:p>
                <w:p w:rsidR="00FA1D0A" w:rsidRPr="00B94892" w:rsidRDefault="00FA1D0A" w:rsidP="00FA1D0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B94892">
                    <w:rPr>
                      <w:sz w:val="22"/>
                      <w:szCs w:val="22"/>
                    </w:rPr>
                    <w:t>П</w:t>
                  </w:r>
                  <w:proofErr w:type="gramEnd"/>
                  <w:r w:rsidRPr="00B94892">
                    <w:rPr>
                      <w:sz w:val="22"/>
                      <w:szCs w:val="22"/>
                    </w:rPr>
                    <w:t xml:space="preserve"> Р И К А З Ы В А Ю :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0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Утвердить информационно-пропагандистскую группу (далее ИПГ) предприятия в составе: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Андреевский Вячеслав Станиславович – директор предприятия, руководитель группы;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Киреев Игорь Иванович – зам. директор по идеологической работе, заместитель руководителя группы;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Кузьменков Владимир Владимирович – главный инженер;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Чиж Анатолий Иванович – зам. главного инженера;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Левчук Зинаида Александровна – председатель профкома (с согласия);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Прилипка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Олег Иванович – начальник планово-экономического отдела;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Козырев Игорь Михайлович – начальник юридического отдела;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Скоропупова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Марина Владимировна – начальник отдела кадровой работы;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Латушкина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Марина Евгеньевна – начальник бюро охраны труда;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Вдовкин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Александр Константинович – начальник сектора по работе с обращениями граждан;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Авдейчик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Игорь Анатольевич – начальник охраны объекта;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Федюк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Тереза Станиславовна – начальник ЖЭС-1;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Савко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Людмила Николаевна – начальник ЖЭС-2;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Майорова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Анисия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Михайловна – начальник ЖЭС-5;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Врублевская Марина Михайловна – начальник ЖЭС-8;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Овсянников Матвей Иванович – начальник ЖЭС-9;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Матвейчик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Ирина Генриховна – начальник ЖЭС-11;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Кулипа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Светлана Евгеньевна – начальник ЖЭС-13;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Аленников Николай Александрович – начальник ЖЭС-19;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Луня Людмила Станиславовна – начальник РСЦ-1;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Алещик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Елена Станиславовна – начальник РСЦ-2;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Дембицкий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Иван Иванович – начальник РСУ;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Ровбуть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Дмитрий Леонидович – начальник деревообрабатывающего участка;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Лавренин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Юрий </w:t>
                  </w: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Ефимофич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– начальник участка КИП и</w:t>
                  </w:r>
                  <w:proofErr w:type="gramStart"/>
                  <w:r w:rsidRPr="00B94892">
                    <w:rPr>
                      <w:b w:val="0"/>
                      <w:sz w:val="22"/>
                      <w:szCs w:val="22"/>
                    </w:rPr>
                    <w:t xml:space="preserve"> А</w:t>
                  </w:r>
                  <w:proofErr w:type="gramEnd"/>
                  <w:r w:rsidRPr="00B94892">
                    <w:rPr>
                      <w:b w:val="0"/>
                      <w:sz w:val="22"/>
                      <w:szCs w:val="22"/>
                    </w:rPr>
                    <w:t>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Санцевич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Николай Николаевич – начальник участка ТОРС;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Кленкина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Галина Михайловна – начальник участка котельных;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Сырица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Роман </w:t>
                  </w:r>
                  <w:proofErr w:type="spellStart"/>
                  <w:r w:rsidRPr="00B94892">
                    <w:rPr>
                      <w:b w:val="0"/>
                      <w:sz w:val="22"/>
                      <w:szCs w:val="22"/>
                    </w:rPr>
                    <w:t>Тадеушевич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– начальник ремонтно-механического цеха;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1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B94892">
                    <w:rPr>
                      <w:b w:val="0"/>
                      <w:sz w:val="22"/>
                      <w:szCs w:val="22"/>
                    </w:rPr>
                    <w:t>Жилинская</w:t>
                  </w:r>
                  <w:proofErr w:type="spellEnd"/>
                  <w:r w:rsidRPr="00B94892">
                    <w:rPr>
                      <w:b w:val="0"/>
                      <w:sz w:val="22"/>
                      <w:szCs w:val="22"/>
                    </w:rPr>
                    <w:t xml:space="preserve"> Светлана Николаевна – начальник участка по технического обслуживанию общежитий.</w:t>
                  </w:r>
                  <w:proofErr w:type="gramEnd"/>
                </w:p>
                <w:p w:rsidR="00FA1D0A" w:rsidRPr="00B94892" w:rsidRDefault="00FA1D0A" w:rsidP="00FA1D0A">
                  <w:pPr>
                    <w:pStyle w:val="a6"/>
                    <w:numPr>
                      <w:ilvl w:val="0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Установить, что члены ИПГ выступают в трудовых коллективах предприятия в рамках единых дней информирования в третий четверг (пятница) каждого месяца по тематике, определенной администрацией Президента Республики Беларусь.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0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Заместителю директора по идеологической работе Кирееву И.И. обеспечить подготовку справочно-информационных материалов для выступления членов ИПГ, обобщать замечания и предложения, высказанные работниками предприятия в ходе единых дней информирования, для принятия решений по их реализации.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0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Признать утратившим силу приказ директора предприятия от 23.11.2011 № 208-п.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0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r w:rsidRPr="00B94892">
                    <w:rPr>
                      <w:b w:val="0"/>
                      <w:sz w:val="22"/>
                      <w:szCs w:val="22"/>
                    </w:rPr>
                    <w:t>Приказ довести до членов ИПГ и руководителей структурных подразделений, в части их касающейся.</w:t>
                  </w:r>
                </w:p>
                <w:p w:rsidR="00FA1D0A" w:rsidRPr="00B94892" w:rsidRDefault="00FA1D0A" w:rsidP="00FA1D0A">
                  <w:pPr>
                    <w:pStyle w:val="a6"/>
                    <w:numPr>
                      <w:ilvl w:val="0"/>
                      <w:numId w:val="3"/>
                    </w:numPr>
                    <w:jc w:val="both"/>
                    <w:rPr>
                      <w:b w:val="0"/>
                      <w:sz w:val="22"/>
                      <w:szCs w:val="22"/>
                    </w:rPr>
                  </w:pPr>
                  <w:proofErr w:type="gramStart"/>
                  <w:r w:rsidRPr="00B94892">
                    <w:rPr>
                      <w:b w:val="0"/>
                      <w:sz w:val="22"/>
                      <w:szCs w:val="22"/>
                    </w:rPr>
                    <w:t>Контроль за</w:t>
                  </w:r>
                  <w:proofErr w:type="gramEnd"/>
                  <w:r w:rsidRPr="00B94892">
                    <w:rPr>
                      <w:b w:val="0"/>
                      <w:sz w:val="22"/>
                      <w:szCs w:val="22"/>
                    </w:rPr>
                    <w:t xml:space="preserve"> выполнением настоящего приказа возложить на заместителя по идеологической работе Киреева И.И.</w:t>
                  </w:r>
                </w:p>
                <w:p w:rsidR="00FA1D0A" w:rsidRPr="00B94892" w:rsidRDefault="00FA1D0A" w:rsidP="00FA1D0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FA1D0A" w:rsidRPr="00B94892" w:rsidRDefault="00FA1D0A" w:rsidP="00FA1D0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B94892">
                    <w:rPr>
                      <w:sz w:val="22"/>
                      <w:szCs w:val="22"/>
                    </w:rPr>
                    <w:t xml:space="preserve">Директор предприятия                                         В.С. </w:t>
                  </w:r>
                  <w:proofErr w:type="spellStart"/>
                  <w:r w:rsidRPr="00B94892">
                    <w:rPr>
                      <w:sz w:val="22"/>
                      <w:szCs w:val="22"/>
                    </w:rPr>
                    <w:t>Андреевсский</w:t>
                  </w:r>
                  <w:proofErr w:type="spellEnd"/>
                </w:p>
                <w:p w:rsidR="00FA1D0A" w:rsidRPr="00B94892" w:rsidRDefault="00FA1D0A" w:rsidP="00FA1D0A">
                  <w:pPr>
                    <w:pStyle w:val="a5"/>
                    <w:ind w:firstLine="709"/>
                    <w:jc w:val="both"/>
                    <w:rPr>
                      <w:rFonts w:ascii="Times New Roman" w:hAnsi="Times New Roman"/>
                    </w:rPr>
                  </w:pPr>
                </w:p>
                <w:p w:rsidR="00FA1D0A" w:rsidRDefault="00FA1D0A"/>
              </w:txbxContent>
            </v:textbox>
          </v:shape>
        </w:pict>
      </w:r>
      <w:r>
        <w:t xml:space="preserve"> </w:t>
      </w:r>
    </w:p>
    <w:p w:rsidR="00FA1D0A" w:rsidRDefault="00FA1D0A">
      <w:r>
        <w:rPr>
          <w:noProof/>
        </w:rPr>
        <w:pict>
          <v:shape id="_x0000_s1065" type="#_x0000_t202" style="position:absolute;margin-left:161.7pt;margin-top:528.85pt;width:50pt;height:12pt;z-index:251698176;mso-wrap-style:tight" stroked="f">
            <v:textbox inset="0,0,0,0">
              <w:txbxContent>
                <w:p w:rsidR="00FA1D0A" w:rsidRPr="00FA1D0A" w:rsidRDefault="00FA1D0A" w:rsidP="00FA1D0A">
                  <w: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585.5pt;margin-top:528.85pt;width:50pt;height:12pt;z-index:251678720;mso-wrap-style:tight" stroked="f">
            <v:textbox inset="0,0,0,0">
              <w:txbxContent>
                <w:p w:rsidR="00FA1D0A" w:rsidRPr="00FA1D0A" w:rsidRDefault="00FA1D0A" w:rsidP="00FA1D0A"/>
              </w:txbxContent>
            </v:textbox>
          </v:shape>
        </w:pict>
      </w:r>
      <w:r>
        <w:br w:type="page"/>
      </w:r>
    </w:p>
    <w:p w:rsidR="00FA1D0A" w:rsidRDefault="00FA1D0A">
      <w:r>
        <w:rPr>
          <w:noProof/>
        </w:rPr>
        <w:lastRenderedPageBreak/>
        <w:pict>
          <v:shape id="_x0000_s1064" type="#_x0000_t202" style="position:absolute;margin-left:582.7pt;margin-top:542.65pt;width:50pt;height:12pt;z-index:251697152;mso-wrap-style:tight" stroked="f">
            <v:textbox inset="0,0,0,0">
              <w:txbxContent>
                <w:p w:rsidR="00FA1D0A" w:rsidRPr="00FA1D0A" w:rsidRDefault="00FA1D0A" w:rsidP="00FA1D0A">
                  <w:r>
                    <w:t>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164.5pt;margin-top:542.65pt;width:50pt;height:12pt;z-index:251679744;mso-wrap-style:tight" stroked="f">
            <v:textbox inset="0,0,0,0">
              <w:txbxContent>
                <w:p w:rsidR="00FA1D0A" w:rsidRPr="00FA1D0A" w:rsidRDefault="00FA1D0A" w:rsidP="00FA1D0A">
                  <w: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420.85pt;margin-top:0;width:335.85pt;height:538.45pt;z-index:251676672;mso-wrap-style:tight" stroked="f">
            <v:textbox style="mso-next-textbox:#_x0000_s1045">
              <w:txbxContent/>
            </v:textbox>
          </v:shape>
        </w:pict>
      </w:r>
      <w:r>
        <w:rPr>
          <w:noProof/>
        </w:rPr>
        <w:pict>
          <v:shape id="_x0000_s1027" type="#_x0000_t202" style="position:absolute;margin-left:0;margin-top:0;width:335.85pt;height:538.45pt;z-index:251659264;mso-wrap-style:tight" stroked="f">
            <v:textbox style="mso-next-textbox:#_x0000_s1028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FA1D0A" w:rsidRDefault="00FA1D0A">
      <w:r>
        <w:rPr>
          <w:noProof/>
        </w:rPr>
        <w:lastRenderedPageBreak/>
        <w:pict>
          <v:shape id="_x0000_s1063" type="#_x0000_t202" style="position:absolute;margin-left:161.7pt;margin-top:542.65pt;width:50pt;height:12pt;z-index:251696128;mso-wrap-style:tight" stroked="f">
            <v:textbox inset="0,0,0,0">
              <w:txbxContent>
                <w:p w:rsidR="00FA1D0A" w:rsidRPr="00FA1D0A" w:rsidRDefault="00FA1D0A" w:rsidP="00FA1D0A">
                  <w: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585.5pt;margin-top:542.65pt;width:50pt;height:12pt;z-index:251680768;mso-wrap-style:tight" stroked="f">
            <v:textbox inset="0,0,0,0">
              <w:txbxContent>
                <w:p w:rsidR="00FA1D0A" w:rsidRPr="00FA1D0A" w:rsidRDefault="00FA1D0A" w:rsidP="00FA1D0A">
                  <w: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0;margin-top:0;width:335.85pt;height:538.45pt;z-index:251675648;mso-wrap-style:tight" stroked="f">
            <v:textbox style="mso-next-textbox:#_x0000_s1044">
              <w:txbxContent/>
            </v:textbox>
          </v:shape>
        </w:pict>
      </w:r>
      <w:r>
        <w:rPr>
          <w:noProof/>
        </w:rPr>
        <w:pict>
          <v:shape id="_x0000_s1028" type="#_x0000_t202" style="position:absolute;margin-left:420.85pt;margin-top:0;width:335.85pt;height:538.45pt;z-index:251660288;mso-wrap-style:tight" stroked="f">
            <v:textbox style="mso-next-textbox:#_x0000_s1029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FA1D0A" w:rsidRDefault="00FA1D0A">
      <w:r>
        <w:rPr>
          <w:noProof/>
        </w:rPr>
        <w:lastRenderedPageBreak/>
        <w:pict>
          <v:shape id="_x0000_s1062" type="#_x0000_t202" style="position:absolute;margin-left:582.7pt;margin-top:542.65pt;width:50pt;height:12pt;z-index:251695104;mso-wrap-style:tight" stroked="f">
            <v:textbox inset="0,0,0,0">
              <w:txbxContent>
                <w:p w:rsidR="00FA1D0A" w:rsidRPr="00FA1D0A" w:rsidRDefault="00FA1D0A" w:rsidP="00FA1D0A">
                  <w: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164.5pt;margin-top:542.65pt;width:50pt;height:12pt;z-index:251681792;mso-wrap-style:tight" stroked="f">
            <v:textbox inset="0,0,0,0">
              <w:txbxContent>
                <w:p w:rsidR="00FA1D0A" w:rsidRPr="00FA1D0A" w:rsidRDefault="00FA1D0A" w:rsidP="00FA1D0A">
                  <w: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420.85pt;margin-top:0;width:335.85pt;height:538.45pt;z-index:251674624;mso-wrap-style:tight" stroked="f">
            <v:textbox style="mso-next-textbox:#_x0000_s1043">
              <w:txbxContent/>
            </v:textbox>
          </v:shape>
        </w:pict>
      </w:r>
      <w:r>
        <w:rPr>
          <w:noProof/>
        </w:rPr>
        <w:pict>
          <v:shape id="_x0000_s1029" type="#_x0000_t202" style="position:absolute;margin-left:0;margin-top:0;width:335.85pt;height:538.45pt;z-index:251661312;mso-wrap-style:tight" stroked="f">
            <v:textbox style="mso-next-textbox:#_x0000_s1030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FA1D0A" w:rsidRDefault="00FA1D0A">
      <w:r>
        <w:rPr>
          <w:noProof/>
        </w:rPr>
        <w:lastRenderedPageBreak/>
        <w:pict>
          <v:shape id="_x0000_s1061" type="#_x0000_t202" style="position:absolute;margin-left:161.7pt;margin-top:542.65pt;width:50pt;height:12pt;z-index:251694080;mso-wrap-style:tight" stroked="f">
            <v:textbox inset="0,0,0,0">
              <w:txbxContent>
                <w:p w:rsidR="00FA1D0A" w:rsidRPr="00FA1D0A" w:rsidRDefault="00FA1D0A" w:rsidP="00FA1D0A">
                  <w: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585.5pt;margin-top:542.65pt;width:50pt;height:12pt;z-index:251682816;mso-wrap-style:tight" stroked="f">
            <v:textbox inset="0,0,0,0">
              <w:txbxContent>
                <w:p w:rsidR="00FA1D0A" w:rsidRPr="00FA1D0A" w:rsidRDefault="00FA1D0A" w:rsidP="00FA1D0A">
                  <w: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0;margin-top:0;width:335.85pt;height:538.45pt;z-index:251673600;mso-wrap-style:tight" stroked="f">
            <v:textbox style="mso-next-textbox:#_x0000_s1042">
              <w:txbxContent/>
            </v:textbox>
          </v:shape>
        </w:pict>
      </w:r>
      <w:r>
        <w:rPr>
          <w:noProof/>
        </w:rPr>
        <w:pict>
          <v:shape id="_x0000_s1030" type="#_x0000_t202" style="position:absolute;margin-left:420.85pt;margin-top:0;width:335.85pt;height:538.45pt;z-index:251662336;mso-wrap-style:tight" stroked="f">
            <v:textbox style="mso-next-textbox:#_x0000_s1031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FA1D0A" w:rsidRDefault="00FA1D0A">
      <w:r>
        <w:rPr>
          <w:noProof/>
        </w:rPr>
        <w:lastRenderedPageBreak/>
        <w:pict>
          <v:shape id="_x0000_s1060" type="#_x0000_t202" style="position:absolute;margin-left:582.7pt;margin-top:542.65pt;width:50pt;height:12pt;z-index:251693056;mso-wrap-style:tight" stroked="f">
            <v:textbox inset="0,0,0,0">
              <w:txbxContent>
                <w:p w:rsidR="00FA1D0A" w:rsidRPr="00FA1D0A" w:rsidRDefault="00FA1D0A" w:rsidP="00FA1D0A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164.5pt;margin-top:542.65pt;width:50pt;height:12pt;z-index:251683840;mso-wrap-style:tight" stroked="f">
            <v:textbox inset="0,0,0,0">
              <w:txbxContent>
                <w:p w:rsidR="00FA1D0A" w:rsidRPr="00FA1D0A" w:rsidRDefault="00FA1D0A" w:rsidP="00FA1D0A">
                  <w: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20.85pt;margin-top:0;width:335.85pt;height:538.45pt;z-index:251672576;mso-wrap-style:tight" stroked="f">
            <v:textbox style="mso-next-textbox:#_x0000_s1041">
              <w:txbxContent/>
            </v:textbox>
          </v:shape>
        </w:pict>
      </w:r>
      <w:r>
        <w:rPr>
          <w:noProof/>
        </w:rPr>
        <w:pict>
          <v:shape id="_x0000_s1031" type="#_x0000_t202" style="position:absolute;margin-left:0;margin-top:0;width:335.85pt;height:538.45pt;z-index:251663360;mso-wrap-style:tight" stroked="f">
            <v:textbox style="mso-next-textbox:#_x0000_s1032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FA1D0A" w:rsidRDefault="00FA1D0A">
      <w:r>
        <w:rPr>
          <w:noProof/>
        </w:rPr>
        <w:lastRenderedPageBreak/>
        <w:pict>
          <v:shape id="_x0000_s1059" type="#_x0000_t202" style="position:absolute;margin-left:161.7pt;margin-top:542.65pt;width:50pt;height:12pt;z-index:251692032;mso-wrap-style:tight" stroked="f">
            <v:textbox inset="0,0,0,0">
              <w:txbxContent>
                <w:p w:rsidR="00FA1D0A" w:rsidRPr="00FA1D0A" w:rsidRDefault="00FA1D0A" w:rsidP="00FA1D0A">
                  <w:r>
                    <w:t>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585.5pt;margin-top:542.65pt;width:50pt;height:12pt;z-index:251684864;mso-wrap-style:tight" stroked="f">
            <v:textbox inset="0,0,0,0">
              <w:txbxContent>
                <w:p w:rsidR="00FA1D0A" w:rsidRPr="00FA1D0A" w:rsidRDefault="00FA1D0A" w:rsidP="00FA1D0A"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0;margin-top:0;width:335.85pt;height:538.45pt;z-index:251671552;mso-wrap-style:tight" stroked="f">
            <v:textbox style="mso-next-textbox:#_x0000_s1040">
              <w:txbxContent/>
            </v:textbox>
          </v:shape>
        </w:pict>
      </w:r>
      <w:r>
        <w:rPr>
          <w:noProof/>
        </w:rPr>
        <w:pict>
          <v:shape id="_x0000_s1032" type="#_x0000_t202" style="position:absolute;margin-left:420.85pt;margin-top:0;width:335.85pt;height:538.45pt;z-index:251664384;mso-wrap-style:tight" stroked="f">
            <v:textbox style="mso-next-textbox:#_x0000_s1033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FA1D0A" w:rsidRDefault="00FA1D0A">
      <w:r>
        <w:rPr>
          <w:noProof/>
        </w:rPr>
        <w:lastRenderedPageBreak/>
        <w:pict>
          <v:shape id="_x0000_s1058" type="#_x0000_t202" style="position:absolute;margin-left:582.7pt;margin-top:542.65pt;width:50pt;height:12pt;z-index:251691008;mso-wrap-style:tight" stroked="f">
            <v:textbox inset="0,0,0,0">
              <w:txbxContent>
                <w:p w:rsidR="00FA1D0A" w:rsidRPr="00FA1D0A" w:rsidRDefault="00FA1D0A" w:rsidP="00FA1D0A">
                  <w:r>
                    <w:t>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164.5pt;margin-top:542.65pt;width:50pt;height:12pt;z-index:251685888;mso-wrap-style:tight" stroked="f">
            <v:textbox inset="0,0,0,0">
              <w:txbxContent>
                <w:p w:rsidR="00FA1D0A" w:rsidRPr="00FA1D0A" w:rsidRDefault="00FA1D0A" w:rsidP="00FA1D0A">
                  <w: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420.85pt;margin-top:0;width:335.85pt;height:538.45pt;z-index:251670528;mso-wrap-style:tight" stroked="f">
            <v:textbox style="mso-next-textbox:#_x0000_s1039">
              <w:txbxContent/>
            </v:textbox>
          </v:shape>
        </w:pict>
      </w:r>
      <w:r>
        <w:rPr>
          <w:noProof/>
        </w:rPr>
        <w:pict>
          <v:shape id="_x0000_s1033" type="#_x0000_t202" style="position:absolute;margin-left:0;margin-top:0;width:335.85pt;height:538.45pt;z-index:251665408;mso-wrap-style:tight" stroked="f">
            <v:textbox style="mso-next-textbox:#_x0000_s1034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FA1D0A" w:rsidRDefault="00FA1D0A">
      <w:r>
        <w:rPr>
          <w:noProof/>
        </w:rPr>
        <w:lastRenderedPageBreak/>
        <w:pict>
          <v:shape id="_x0000_s1057" type="#_x0000_t202" style="position:absolute;margin-left:161.7pt;margin-top:542.65pt;width:50pt;height:12pt;z-index:251689984;mso-wrap-style:tight" stroked="f">
            <v:textbox inset="0,0,0,0">
              <w:txbxContent>
                <w:p w:rsidR="00FA1D0A" w:rsidRPr="00FA1D0A" w:rsidRDefault="00FA1D0A" w:rsidP="00FA1D0A">
                  <w:r>
                    <w:t>12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585.5pt;margin-top:542.65pt;width:50pt;height:12pt;z-index:251686912;mso-wrap-style:tight" stroked="f">
            <v:textbox inset="0,0,0,0">
              <w:txbxContent>
                <w:p w:rsidR="00FA1D0A" w:rsidRPr="00FA1D0A" w:rsidRDefault="00FA1D0A" w:rsidP="00FA1D0A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0;margin-top:0;width:335.85pt;height:538.45pt;z-index:251669504;mso-wrap-style:tight" stroked="f">
            <v:textbox style="mso-next-textbox:#_x0000_s1038">
              <w:txbxContent/>
            </v:textbox>
          </v:shape>
        </w:pict>
      </w:r>
      <w:r>
        <w:rPr>
          <w:noProof/>
        </w:rPr>
        <w:pict>
          <v:shape id="_x0000_s1034" type="#_x0000_t202" style="position:absolute;margin-left:420.85pt;margin-top:0;width:335.85pt;height:538.45pt;z-index:251666432;mso-wrap-style:tight" stroked="f">
            <v:textbox style="mso-next-textbox:#_x0000_s1035">
              <w:txbxContent/>
            </v:textbox>
          </v:shape>
        </w:pict>
      </w:r>
      <w:r>
        <w:t xml:space="preserve"> </w:t>
      </w:r>
    </w:p>
    <w:p w:rsidR="00FA1D0A" w:rsidRDefault="00FA1D0A">
      <w:r>
        <w:br w:type="page"/>
      </w:r>
    </w:p>
    <w:p w:rsidR="00A931B8" w:rsidRDefault="00FA1D0A">
      <w:r>
        <w:rPr>
          <w:noProof/>
        </w:rPr>
        <w:lastRenderedPageBreak/>
        <w:pict>
          <v:shape id="_x0000_s1056" type="#_x0000_t202" style="position:absolute;margin-left:582.7pt;margin-top:542.65pt;width:50pt;height:12pt;z-index:251688960;mso-wrap-style:tight" stroked="f">
            <v:textbox inset="0,0,0,0">
              <w:txbxContent>
                <w:p w:rsidR="00FA1D0A" w:rsidRPr="00FA1D0A" w:rsidRDefault="00FA1D0A" w:rsidP="00FA1D0A">
                  <w: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161.7pt;margin-top:542.65pt;width:50pt;height:12pt;z-index:251687936;mso-wrap-style:tight" stroked="f">
            <v:textbox inset="0,0,0,0">
              <w:txbxContent>
                <w:p w:rsidR="00FA1D0A" w:rsidRPr="00FA1D0A" w:rsidRDefault="00FA1D0A" w:rsidP="00FA1D0A">
                  <w: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420.85pt;margin-top:0;width:335.85pt;height:538.45pt;z-index:251668480;mso-wrap-style:tight" stroked="f">
            <v:textbox style="mso-next-textbox:#_x0000_s1037">
              <w:txbxContent/>
            </v:textbox>
          </v:shape>
        </w:pict>
      </w:r>
      <w:r>
        <w:rPr>
          <w:noProof/>
        </w:rPr>
        <w:pict>
          <v:shape id="_x0000_s1035" type="#_x0000_t202" style="position:absolute;margin-left:0;margin-top:0;width:335.85pt;height:538.45pt;z-index:251667456;mso-wrap-style:tight" stroked="f">
            <v:textbox style="mso-next-textbox:#_x0000_s1036">
              <w:txbxContent/>
            </v:textbox>
          </v:shape>
        </w:pict>
      </w:r>
    </w:p>
    <w:sectPr w:rsidR="00A931B8" w:rsidSect="00FA1D0A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2007"/>
    <w:multiLevelType w:val="hybridMultilevel"/>
    <w:tmpl w:val="3E189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A830BE"/>
    <w:multiLevelType w:val="multilevel"/>
    <w:tmpl w:val="0BF04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3A6550E"/>
    <w:multiLevelType w:val="hybridMultilevel"/>
    <w:tmpl w:val="5658C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1D0A"/>
    <w:rsid w:val="00091996"/>
    <w:rsid w:val="00105E13"/>
    <w:rsid w:val="00134F13"/>
    <w:rsid w:val="001408E3"/>
    <w:rsid w:val="00145BE9"/>
    <w:rsid w:val="00195852"/>
    <w:rsid w:val="001C0951"/>
    <w:rsid w:val="001D0389"/>
    <w:rsid w:val="001E76F1"/>
    <w:rsid w:val="00242C87"/>
    <w:rsid w:val="00257F4D"/>
    <w:rsid w:val="00292041"/>
    <w:rsid w:val="00294C42"/>
    <w:rsid w:val="003D6AE1"/>
    <w:rsid w:val="00530D3C"/>
    <w:rsid w:val="00550B21"/>
    <w:rsid w:val="00575C57"/>
    <w:rsid w:val="0058382B"/>
    <w:rsid w:val="005C2470"/>
    <w:rsid w:val="00620F8F"/>
    <w:rsid w:val="00646F80"/>
    <w:rsid w:val="0066285A"/>
    <w:rsid w:val="00756C9D"/>
    <w:rsid w:val="007A4B08"/>
    <w:rsid w:val="0083104C"/>
    <w:rsid w:val="00841302"/>
    <w:rsid w:val="00853D52"/>
    <w:rsid w:val="008633D4"/>
    <w:rsid w:val="00863CFD"/>
    <w:rsid w:val="00891D28"/>
    <w:rsid w:val="008933B0"/>
    <w:rsid w:val="00937A1F"/>
    <w:rsid w:val="00981A4A"/>
    <w:rsid w:val="009B160C"/>
    <w:rsid w:val="009D09FF"/>
    <w:rsid w:val="009D68FA"/>
    <w:rsid w:val="00A138A7"/>
    <w:rsid w:val="00A931B8"/>
    <w:rsid w:val="00AE60BC"/>
    <w:rsid w:val="00AF2856"/>
    <w:rsid w:val="00B14859"/>
    <w:rsid w:val="00B40D3A"/>
    <w:rsid w:val="00B43B0E"/>
    <w:rsid w:val="00B7409C"/>
    <w:rsid w:val="00C1450C"/>
    <w:rsid w:val="00C7281F"/>
    <w:rsid w:val="00C83E79"/>
    <w:rsid w:val="00C87C66"/>
    <w:rsid w:val="00CB15F6"/>
    <w:rsid w:val="00D04769"/>
    <w:rsid w:val="00DE328A"/>
    <w:rsid w:val="00E316E9"/>
    <w:rsid w:val="00EA2AC4"/>
    <w:rsid w:val="00F51251"/>
    <w:rsid w:val="00F55A5D"/>
    <w:rsid w:val="00F66CDE"/>
    <w:rsid w:val="00F77881"/>
    <w:rsid w:val="00F85CDB"/>
    <w:rsid w:val="00F96BE1"/>
    <w:rsid w:val="00FA1D0A"/>
    <w:rsid w:val="00FA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 style="mso-wrap-style:tight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104C"/>
    <w:rPr>
      <w:i/>
      <w:iCs/>
    </w:rPr>
  </w:style>
  <w:style w:type="paragraph" w:styleId="a4">
    <w:name w:val="Normal (Web)"/>
    <w:basedOn w:val="a"/>
    <w:uiPriority w:val="99"/>
    <w:semiHidden/>
    <w:rsid w:val="00FA1D0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A1D0A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A1D0A"/>
    <w:pPr>
      <w:ind w:left="708"/>
    </w:pPr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FA1D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D0A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FA1D0A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FA1D0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Страничек - 20_x000d_ Разворотов - 10_x000d_Листов бумаги - 5_x000d_Тетрадок - 1 по 5 листов_x000d_Добавлено - 1 пустые страницы_x000d_Поля в мм - 10 сверху, 10 снизу, 15 от переплета, 15 от границы листа.</dc:description>
  <cp:lastModifiedBy>Admin</cp:lastModifiedBy>
  <cp:revision>1</cp:revision>
  <dcterms:created xsi:type="dcterms:W3CDTF">2015-07-14T10:29:00Z</dcterms:created>
  <dcterms:modified xsi:type="dcterms:W3CDTF">2015-07-14T10:34:00Z</dcterms:modified>
</cp:coreProperties>
</file>